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1200"/>
      </w:pPr>
    </w:p>
    <w:p>
      <w:pPr>
        <w:spacing w:before="200" w:after="80"/>
        <w:jc w:val="center"/>
      </w:pPr>
      <w:r>
        <w:rPr>
          <w:rFonts w:ascii="Arial" w:cs="Arial" w:eastAsia="Arial" w:hAnsi="Arial"/>
          <w:b/>
          <w:bCs/>
          <w:color w:val="1B2A4A"/>
          <w:sz w:val="52"/>
          <w:szCs w:val="52"/>
        </w:rPr>
        <w:t xml:space="preserve">[NOMBRE DE LA EMPRESA]</w:t>
      </w:r>
    </w:p>
    <w:p>
      <w:pPr>
        <w:spacing w:before="80" w:after="80"/>
        <w:jc w:val="center"/>
      </w:pPr>
      <w:r>
        <w:rPr>
          <w:rFonts w:ascii="Arial" w:cs="Arial" w:eastAsia="Arial" w:hAnsi="Arial"/>
          <w:color w:val="C8890A"/>
          <w:sz w:val="24"/>
          <w:szCs w:val="24"/>
        </w:rPr>
        <w:t xml:space="preserve">NIT: ___________________</w:t>
      </w:r>
    </w:p>
    <w:p>
      <w:pPr>
        <w:pBdr>
          <w:bottom w:val="single" w:color="C8890A" w:sz="6"/>
        </w:pBdr>
        <w:spacing w:before="200" w:after="200"/>
      </w:pPr>
    </w:p>
    <w:p>
      <w:pPr>
        <w:spacing w:before="300" w:after="100"/>
        <w:jc w:val="center"/>
      </w:pPr>
      <w:r>
        <w:rPr>
          <w:rFonts w:ascii="Arial" w:cs="Arial" w:eastAsia="Arial" w:hAnsi="Arial"/>
          <w:b/>
          <w:bCs/>
          <w:color w:val="2E5FA3"/>
          <w:sz w:val="44"/>
          <w:szCs w:val="44"/>
        </w:rPr>
        <w:t xml:space="preserve">REGLAMENTO INTERNO DE TRABAJO</w:t>
      </w:r>
    </w:p>
    <w:p>
      <w:pPr>
        <w:spacing w:before="100" w:after="400"/>
        <w:jc w:val="center"/>
      </w:pPr>
      <w:r>
        <w:rPr>
          <w:rFonts w:ascii="Arial" w:cs="Arial" w:eastAsia="Arial" w:hAnsi="Arial"/>
          <w:i/>
          <w:iCs/>
          <w:color w:val="1B2A4A"/>
          <w:sz w:val="22"/>
          <w:szCs w:val="22"/>
        </w:rPr>
        <w:t xml:space="preserve">Actualizado conforme a la Ley 2466 de 2025 y demás normatividad vigente</w:t>
      </w:r>
    </w:p>
    <w:p>
      <w:pPr>
        <w:spacing w:before="600"/>
        <w:jc w:val="center"/>
      </w:pPr>
      <w:r>
        <w:rPr>
          <w:rFonts w:ascii="Arial" w:cs="Arial" w:eastAsia="Arial" w:hAnsi="Arial"/>
          <w:color w:val="555555"/>
          <w:sz w:val="20"/>
          <w:szCs w:val="20"/>
        </w:rPr>
        <w:t xml:space="preserve">Ciudad: ___________________ | Fecha de expedición: ___________________</w:t>
      </w:r>
    </w:p>
    <w:p>
      <w:r>
        <w:br w:type="page"/>
      </w:r>
    </w:p>
    <w:p>
      <w:pPr>
        <w:pStyle w:val="Heading1"/>
        <w:pBdr>
          <w:bottom w:val="single" w:color="C8890A" w:sz="8"/>
        </w:pBdr>
        <w:shd w:fill="1B2A4A" w:val="clear"/>
        <w:spacing w:before="320" w:after="160"/>
        <w:ind w:left="200" w:right="200"/>
      </w:pPr>
      <w:r>
        <w:rPr>
          <w:rFonts w:ascii="Arial" w:cs="Arial" w:eastAsia="Arial" w:hAnsi="Arial"/>
          <w:b/>
          <w:bCs/>
          <w:color w:val="FFFFFF"/>
          <w:sz w:val="28"/>
          <w:szCs w:val="28"/>
        </w:rPr>
        <w:t xml:space="preserve">MARCO NORMATIVO DE REFERENCIA</w:t>
      </w:r>
    </w:p>
    <w:p>
      <w:pPr>
        <w:spacing w:before="80" w:after="80"/>
        <w:jc w:val="both"/>
      </w:pPr>
      <w:r>
        <w:rPr>
          <w:rFonts w:ascii="Arial" w:cs="Arial" w:eastAsia="Arial" w:hAnsi="Arial"/>
          <w:b w:val="false"/>
          <w:bCs w:val="false"/>
          <w:color w:val="000000"/>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5FA3" w:sz="1"/>
              <w:left w:val="single" w:color="2E5FA3" w:sz="1"/>
              <w:bottom w:val="single" w:color="2E5FA3" w:sz="1"/>
              <w:right w:val="single" w:color="2E5FA3" w:sz="1"/>
            </w:tcBorders>
            <w:shd w:fill="D6E4F7" w:val="clear"/>
            <w:tcMar>
              <w:top w:type="dxa" w:w="100"/>
              <w:left w:type="dxa" w:w="180"/>
              <w:bottom w:type="dxa" w:w="100"/>
              <w:right w:type="dxa" w:w="180"/>
            </w:tcMar>
          </w:tcPr>
          <w:p>
            <w:pPr>
              <w:jc w:val="both"/>
            </w:pPr>
            <w:r>
              <w:rPr>
                <w:rFonts w:ascii="Arial" w:cs="Arial" w:eastAsia="Arial" w:hAnsi="Arial"/>
                <w:b/>
                <w:bCs/>
                <w:color w:val="2E5FA3"/>
                <w:sz w:val="19"/>
                <w:szCs w:val="19"/>
              </w:rPr>
              <w:t xml:space="preserve">NOTA: </w:t>
            </w:r>
            <w:r>
              <w:rPr>
                <w:rFonts w:ascii="Arial" w:cs="Arial" w:eastAsia="Arial" w:hAnsi="Arial"/>
                <w:i/>
                <w:iCs/>
                <w:color w:val="1B2A4A"/>
                <w:sz w:val="19"/>
                <w:szCs w:val="19"/>
              </w:rPr>
              <w:t xml:space="preserve">El presente Reglamento Interno de Trabajo se expide en cumplimiento de los artículos 104 a 125 del Código Sustantivo del Trabajo (CST), la Ley 50 de 1990, la Ley 1010 de 2006 (acoso laboral), la Ley 1221 de 2008 (teletrabajo), la Ley 1616 de 2013 (salud mental), la Ley 2101 de 2021 (reducción de jornada) y la Ley 2466 de 2025 (Reforma Laboral para el Trabajo Decente y Digno). Los empleadores con más de 5 trabajadores en actividades comerciales o más de 10 en industriales están obligados a adoptarlo (art. 105 CST).</w:t>
            </w:r>
          </w:p>
        </w:tc>
      </w:tr>
    </w:tbl>
    <w:p>
      <w:pPr>
        <w:spacing w:before="80" w:after="80"/>
        <w:jc w:val="both"/>
      </w:pPr>
      <w:r>
        <w:rPr>
          <w:rFonts w:ascii="Arial" w:cs="Arial" w:eastAsia="Arial" w:hAnsi="Arial"/>
          <w:b w:val="false"/>
          <w:bCs w:val="false"/>
          <w:color w:val="000000"/>
          <w:sz w:val="20"/>
          <w:szCs w:val="20"/>
        </w:rPr>
        <w:t xml:space="preserve"/>
      </w:r>
    </w:p>
    <w:p>
      <w:pPr>
        <w:pStyle w:val="Heading1"/>
        <w:pBdr>
          <w:bottom w:val="single" w:color="C8890A" w:sz="8"/>
        </w:pBdr>
        <w:shd w:fill="1B2A4A" w:val="clear"/>
        <w:spacing w:before="320" w:after="160"/>
        <w:ind w:left="200" w:right="200"/>
      </w:pPr>
      <w:r>
        <w:rPr>
          <w:rFonts w:ascii="Arial" w:cs="Arial" w:eastAsia="Arial" w:hAnsi="Arial"/>
          <w:b/>
          <w:bCs/>
          <w:color w:val="FFFFFF"/>
          <w:sz w:val="28"/>
          <w:szCs w:val="28"/>
        </w:rPr>
        <w:t xml:space="preserve">CAPÍTULO I — DISPOSICIONES GENERALES</w:t>
      </w:r>
    </w:p>
    <w:p>
      <w:pPr>
        <w:spacing w:before="200" w:after="80"/>
      </w:pPr>
      <w:r>
        <w:rPr>
          <w:rFonts w:ascii="Arial" w:cs="Arial" w:eastAsia="Arial" w:hAnsi="Arial"/>
          <w:b/>
          <w:bCs/>
          <w:color w:val="1B2A4A"/>
          <w:sz w:val="20"/>
          <w:szCs w:val="20"/>
        </w:rPr>
        <w:t xml:space="preserve">ARTÍCULO 1°. </w:t>
      </w:r>
      <w:r>
        <w:rPr>
          <w:rFonts w:ascii="Arial" w:cs="Arial" w:eastAsia="Arial" w:hAnsi="Arial"/>
          <w:b/>
          <w:bCs/>
          <w:color w:val="1B2A4A"/>
          <w:sz w:val="20"/>
          <w:szCs w:val="20"/>
        </w:rPr>
        <w:t xml:space="preserve">OBJETO. </w:t>
      </w:r>
    </w:p>
    <w:p>
      <w:pPr>
        <w:spacing w:before="0" w:after="140"/>
        <w:jc w:val="both"/>
      </w:pPr>
      <w:r>
        <w:rPr>
          <w:rFonts w:ascii="Arial" w:cs="Arial" w:eastAsia="Arial" w:hAnsi="Arial"/>
          <w:sz w:val="20"/>
          <w:szCs w:val="20"/>
        </w:rPr>
        <w:t xml:space="preserve">El presente Reglamento Interno de Trabajo (en adelante RIT) establece las condiciones que deben sujetarse la empresa y sus trabajadores en virtud del contrato de trabajo. Sus disposiciones son de obligatorio cumplimiento para todo el personal vinculado mediante contrato de trabajo, conforme al artículo 104 del Código Sustantivo del Trabajo.</w:t>
      </w:r>
    </w:p>
    <w:p>
      <w:pPr>
        <w:spacing w:before="200" w:after="80"/>
      </w:pPr>
      <w:r>
        <w:rPr>
          <w:rFonts w:ascii="Arial" w:cs="Arial" w:eastAsia="Arial" w:hAnsi="Arial"/>
          <w:b/>
          <w:bCs/>
          <w:color w:val="1B2A4A"/>
          <w:sz w:val="20"/>
          <w:szCs w:val="20"/>
        </w:rPr>
        <w:t xml:space="preserve">ARTÍCULO 2°. </w:t>
      </w:r>
      <w:r>
        <w:rPr>
          <w:rFonts w:ascii="Arial" w:cs="Arial" w:eastAsia="Arial" w:hAnsi="Arial"/>
          <w:b/>
          <w:bCs/>
          <w:color w:val="1B2A4A"/>
          <w:sz w:val="20"/>
          <w:szCs w:val="20"/>
        </w:rPr>
        <w:t xml:space="preserve">ÁMBITO DE APLICACIÓN. </w:t>
      </w:r>
    </w:p>
    <w:p>
      <w:pPr>
        <w:spacing w:before="0" w:after="140"/>
        <w:jc w:val="both"/>
      </w:pPr>
      <w:r>
        <w:rPr>
          <w:rFonts w:ascii="Arial" w:cs="Arial" w:eastAsia="Arial" w:hAnsi="Arial"/>
          <w:sz w:val="20"/>
          <w:szCs w:val="20"/>
        </w:rPr>
        <w:t xml:space="preserve">Las normas contenidas en este RIT aplican a todos los trabajadores directos de [NOMBRE DE LA EMPRESA], en todos sus establecimientos y centros de trabajo ubicados en el territorio nacional. Se exceptúan los servidores públicos y los trabajadores en período de prueba durante el tiempo de su evaluación inicial, sin perjuicio de las obligaciones establecidas en el contrato de trabajo.</w:t>
      </w:r>
    </w:p>
    <w:p>
      <w:pPr>
        <w:spacing w:before="200" w:after="80"/>
      </w:pPr>
      <w:r>
        <w:rPr>
          <w:rFonts w:ascii="Arial" w:cs="Arial" w:eastAsia="Arial" w:hAnsi="Arial"/>
          <w:b/>
          <w:bCs/>
          <w:color w:val="1B2A4A"/>
          <w:sz w:val="20"/>
          <w:szCs w:val="20"/>
        </w:rPr>
        <w:t xml:space="preserve">ARTÍCULO 3°. </w:t>
      </w:r>
      <w:r>
        <w:rPr>
          <w:rFonts w:ascii="Arial" w:cs="Arial" w:eastAsia="Arial" w:hAnsi="Arial"/>
          <w:b/>
          <w:bCs/>
          <w:color w:val="1B2A4A"/>
          <w:sz w:val="20"/>
          <w:szCs w:val="20"/>
        </w:rPr>
        <w:t xml:space="preserve">REPRESENTACIÓN DE LA EMPRESA. </w:t>
      </w:r>
    </w:p>
    <w:p>
      <w:pPr>
        <w:spacing w:before="0" w:after="140"/>
        <w:jc w:val="both"/>
      </w:pPr>
      <w:r>
        <w:rPr>
          <w:rFonts w:ascii="Arial" w:cs="Arial" w:eastAsia="Arial" w:hAnsi="Arial"/>
          <w:sz w:val="20"/>
          <w:szCs w:val="20"/>
        </w:rPr>
        <w:t xml:space="preserve">La empresa estará representada por su Representante Legal, quien podrá delegar funciones en los gerentes, jefes de área o supervisores, quienes actuarán dentro de los límites de dicha delegación.</w:t>
      </w:r>
    </w:p>
    <w:p>
      <w:pPr>
        <w:spacing w:before="200" w:after="80"/>
      </w:pPr>
      <w:r>
        <w:rPr>
          <w:rFonts w:ascii="Arial" w:cs="Arial" w:eastAsia="Arial" w:hAnsi="Arial"/>
          <w:b/>
          <w:bCs/>
          <w:color w:val="1B2A4A"/>
          <w:sz w:val="20"/>
          <w:szCs w:val="20"/>
        </w:rPr>
        <w:t xml:space="preserve">ARTÍCULO 4°. </w:t>
      </w:r>
      <w:r>
        <w:rPr>
          <w:rFonts w:ascii="Arial" w:cs="Arial" w:eastAsia="Arial" w:hAnsi="Arial"/>
          <w:b/>
          <w:bCs/>
          <w:color w:val="1B2A4A"/>
          <w:sz w:val="20"/>
          <w:szCs w:val="20"/>
        </w:rPr>
        <w:t xml:space="preserve">VIGENCIA Y ACTUALIZACIÓN. </w:t>
      </w:r>
    </w:p>
    <w:p>
      <w:pPr>
        <w:spacing w:before="0" w:after="140"/>
        <w:jc w:val="both"/>
      </w:pPr>
      <w:r>
        <w:rPr>
          <w:rFonts w:ascii="Arial" w:cs="Arial" w:eastAsia="Arial" w:hAnsi="Arial"/>
          <w:sz w:val="20"/>
          <w:szCs w:val="20"/>
        </w:rPr>
        <w:t xml:space="preserve">El presente RIT entra en vigencia a partir de la fecha de su registro ante el Ministerio del Trabajo (art. 119 CST) o de su publicación en lugares visibles de la empresa. En cumplimiento del Parágrafo 4° del artículo 7° de la Ley 2466 de 2025, el presente reglamento ha sido actualizado dentro del plazo legal de doce (12) meses contados desde el 25 de junio de 2025. La publicación podrá efectuarse de forma física o virtual, siempre que quede constancia verificable de su divulgación.</w:t>
      </w:r>
    </w:p>
    <w:p>
      <w:pPr>
        <w:spacing w:before="80" w:after="80"/>
        <w:jc w:val="both"/>
      </w:pPr>
      <w:r>
        <w:rPr>
          <w:rFonts w:ascii="Arial" w:cs="Arial" w:eastAsia="Arial" w:hAnsi="Arial"/>
          <w:b w:val="false"/>
          <w:bCs w:val="false"/>
          <w:color w:val="000000"/>
          <w:sz w:val="20"/>
          <w:szCs w:val="20"/>
        </w:rPr>
        <w:t xml:space="preserve"/>
      </w:r>
    </w:p>
    <w:p>
      <w:pPr>
        <w:pStyle w:val="Heading1"/>
        <w:pBdr>
          <w:bottom w:val="single" w:color="C8890A" w:sz="8"/>
        </w:pBdr>
        <w:shd w:fill="1B2A4A" w:val="clear"/>
        <w:spacing w:before="320" w:after="160"/>
        <w:ind w:left="200" w:right="200"/>
      </w:pPr>
      <w:r>
        <w:rPr>
          <w:rFonts w:ascii="Arial" w:cs="Arial" w:eastAsia="Arial" w:hAnsi="Arial"/>
          <w:b/>
          <w:bCs/>
          <w:color w:val="FFFFFF"/>
          <w:sz w:val="28"/>
          <w:szCs w:val="28"/>
        </w:rPr>
        <w:t xml:space="preserve">CAPÍTULO II — CONDICIONES DE ADMISIÓN</w:t>
      </w:r>
    </w:p>
    <w:p>
      <w:pPr>
        <w:spacing w:before="200" w:after="80"/>
      </w:pPr>
      <w:r>
        <w:rPr>
          <w:rFonts w:ascii="Arial" w:cs="Arial" w:eastAsia="Arial" w:hAnsi="Arial"/>
          <w:b/>
          <w:bCs/>
          <w:color w:val="1B2A4A"/>
          <w:sz w:val="20"/>
          <w:szCs w:val="20"/>
        </w:rPr>
        <w:t xml:space="preserve">ARTÍCULO 5°. </w:t>
      </w:r>
      <w:r>
        <w:rPr>
          <w:rFonts w:ascii="Arial" w:cs="Arial" w:eastAsia="Arial" w:hAnsi="Arial"/>
          <w:b/>
          <w:bCs/>
          <w:color w:val="1B2A4A"/>
          <w:sz w:val="20"/>
          <w:szCs w:val="20"/>
        </w:rPr>
        <w:t xml:space="preserve">ADMISIÓN Y PROCESO DE SELECCIÓN. </w:t>
      </w:r>
    </w:p>
    <w:p>
      <w:pPr>
        <w:spacing w:before="0" w:after="140"/>
        <w:jc w:val="both"/>
      </w:pPr>
      <w:r>
        <w:rPr>
          <w:rFonts w:ascii="Arial" w:cs="Arial" w:eastAsia="Arial" w:hAnsi="Arial"/>
          <w:sz w:val="20"/>
          <w:szCs w:val="20"/>
        </w:rPr>
        <w:t xml:space="preserve">Para ser admitido como trabajador de la empresa, el candidato deberá cumplir los requisitos del cargo respectivo. El proceso de selección se realizará sin discriminación por motivos de sexo, identidad de género, orientación sexual, raza, color, etnia, origen nacional, discapacidad, condición familiar, edad, condición de salud, preferencias políticas o religiosas, ni por el ejercicio de la sindicalización, en armonía con el artículo 10 del CST y lo dispuesto en la Ley 2466 de 2025.</w:t>
      </w:r>
    </w:p>
    <w:p>
      <w:pPr>
        <w:spacing w:before="200" w:after="80"/>
      </w:pPr>
      <w:r>
        <w:rPr>
          <w:rFonts w:ascii="Arial" w:cs="Arial" w:eastAsia="Arial" w:hAnsi="Arial"/>
          <w:b/>
          <w:bCs/>
          <w:color w:val="1B2A4A"/>
          <w:sz w:val="20"/>
          <w:szCs w:val="20"/>
        </w:rPr>
        <w:t xml:space="preserve">ARTÍCULO 6°. </w:t>
      </w:r>
      <w:r>
        <w:rPr>
          <w:rFonts w:ascii="Arial" w:cs="Arial" w:eastAsia="Arial" w:hAnsi="Arial"/>
          <w:b/>
          <w:bCs/>
          <w:color w:val="1B2A4A"/>
          <w:sz w:val="20"/>
          <w:szCs w:val="20"/>
        </w:rPr>
        <w:t xml:space="preserve">DOCUMENTOS DE INGRESO. </w:t>
      </w:r>
    </w:p>
    <w:p>
      <w:pPr>
        <w:spacing w:before="0" w:after="140"/>
        <w:jc w:val="both"/>
      </w:pPr>
      <w:r>
        <w:rPr>
          <w:rFonts w:ascii="Arial" w:cs="Arial" w:eastAsia="Arial" w:hAnsi="Arial"/>
          <w:sz w:val="20"/>
          <w:szCs w:val="20"/>
        </w:rPr>
        <w:t xml:space="preserve">El aspirante seleccionado deberá presentar los siguientes documentos para formalizar la vinculación:</w:t>
      </w:r>
    </w:p>
    <w:p>
      <w:pPr>
        <w:pStyle w:val="ListParagraph"/>
        <w:numPr>
          <w:ilvl w:val="0"/>
          <w:numId w:val="2"/>
        </w:numPr>
        <w:spacing w:before="60" w:after="60"/>
      </w:pPr>
      <w:r>
        <w:rPr>
          <w:rFonts w:ascii="Arial" w:cs="Arial" w:eastAsia="Arial" w:hAnsi="Arial"/>
          <w:sz w:val="20"/>
          <w:szCs w:val="20"/>
        </w:rPr>
        <w:t xml:space="preserve">Documento de identidad vigente.</w:t>
      </w:r>
    </w:p>
    <w:p>
      <w:pPr>
        <w:pStyle w:val="ListParagraph"/>
        <w:numPr>
          <w:ilvl w:val="0"/>
          <w:numId w:val="2"/>
        </w:numPr>
        <w:spacing w:before="60" w:after="60"/>
      </w:pPr>
      <w:r>
        <w:rPr>
          <w:rFonts w:ascii="Arial" w:cs="Arial" w:eastAsia="Arial" w:hAnsi="Arial"/>
          <w:sz w:val="20"/>
          <w:szCs w:val="20"/>
        </w:rPr>
        <w:t xml:space="preserve">Hoja de vida con soportes de formación académica y experiencia laboral.</w:t>
      </w:r>
    </w:p>
    <w:p>
      <w:pPr>
        <w:pStyle w:val="ListParagraph"/>
        <w:numPr>
          <w:ilvl w:val="0"/>
          <w:numId w:val="2"/>
        </w:numPr>
        <w:spacing w:before="60" w:after="60"/>
      </w:pPr>
      <w:r>
        <w:rPr>
          <w:rFonts w:ascii="Arial" w:cs="Arial" w:eastAsia="Arial" w:hAnsi="Arial"/>
          <w:sz w:val="20"/>
          <w:szCs w:val="20"/>
        </w:rPr>
        <w:t xml:space="preserve">Certificados laborales de empleos anteriores (si aplica).</w:t>
      </w:r>
    </w:p>
    <w:p>
      <w:pPr>
        <w:pStyle w:val="ListParagraph"/>
        <w:numPr>
          <w:ilvl w:val="0"/>
          <w:numId w:val="2"/>
        </w:numPr>
        <w:spacing w:before="60" w:after="60"/>
      </w:pPr>
      <w:r>
        <w:rPr>
          <w:rFonts w:ascii="Arial" w:cs="Arial" w:eastAsia="Arial" w:hAnsi="Arial"/>
          <w:sz w:val="20"/>
          <w:szCs w:val="20"/>
        </w:rPr>
        <w:t xml:space="preserve">Afiliación a Entidad Promotora de Salud (EPS) o solicitud de afiliación.</w:t>
      </w:r>
    </w:p>
    <w:p>
      <w:pPr>
        <w:pStyle w:val="ListParagraph"/>
        <w:numPr>
          <w:ilvl w:val="0"/>
          <w:numId w:val="2"/>
        </w:numPr>
        <w:spacing w:before="60" w:after="60"/>
      </w:pPr>
      <w:r>
        <w:rPr>
          <w:rFonts w:ascii="Arial" w:cs="Arial" w:eastAsia="Arial" w:hAnsi="Arial"/>
          <w:sz w:val="20"/>
          <w:szCs w:val="20"/>
        </w:rPr>
        <w:t xml:space="preserve">Afiliación a Fondo de Pensiones o solicitud de afiliación.</w:t>
      </w:r>
    </w:p>
    <w:p>
      <w:pPr>
        <w:pStyle w:val="ListParagraph"/>
        <w:numPr>
          <w:ilvl w:val="0"/>
          <w:numId w:val="2"/>
        </w:numPr>
        <w:spacing w:before="60" w:after="60"/>
      </w:pPr>
      <w:r>
        <w:rPr>
          <w:rFonts w:ascii="Arial" w:cs="Arial" w:eastAsia="Arial" w:hAnsi="Arial"/>
          <w:sz w:val="20"/>
          <w:szCs w:val="20"/>
        </w:rPr>
        <w:t xml:space="preserve">Afiliación a Fondo de Cesantías o solicitud de afiliación.</w:t>
      </w:r>
    </w:p>
    <w:p>
      <w:pPr>
        <w:pStyle w:val="ListParagraph"/>
        <w:numPr>
          <w:ilvl w:val="0"/>
          <w:numId w:val="2"/>
        </w:numPr>
        <w:spacing w:before="60" w:after="60"/>
      </w:pPr>
      <w:r>
        <w:rPr>
          <w:rFonts w:ascii="Arial" w:cs="Arial" w:eastAsia="Arial" w:hAnsi="Arial"/>
          <w:sz w:val="20"/>
          <w:szCs w:val="20"/>
        </w:rPr>
        <w:t xml:space="preserve">Cuenta bancaria activa para pago de nómina.</w:t>
      </w:r>
    </w:p>
    <w:p>
      <w:pPr>
        <w:pStyle w:val="ListParagraph"/>
        <w:numPr>
          <w:ilvl w:val="0"/>
          <w:numId w:val="2"/>
        </w:numPr>
        <w:spacing w:before="60" w:after="60"/>
      </w:pPr>
      <w:r>
        <w:rPr>
          <w:rFonts w:ascii="Arial" w:cs="Arial" w:eastAsia="Arial" w:hAnsi="Arial"/>
          <w:sz w:val="20"/>
          <w:szCs w:val="20"/>
        </w:rPr>
        <w:t xml:space="preserve">Demás documentos que exija el cargo o la ley para su ejercicio.</w:t>
      </w:r>
    </w:p>
    <w:p>
      <w:pPr>
        <w:spacing w:before="200" w:after="80"/>
      </w:pPr>
      <w:r>
        <w:rPr>
          <w:rFonts w:ascii="Arial" w:cs="Arial" w:eastAsia="Arial" w:hAnsi="Arial"/>
          <w:b/>
          <w:bCs/>
          <w:color w:val="1B2A4A"/>
          <w:sz w:val="20"/>
          <w:szCs w:val="20"/>
        </w:rPr>
        <w:t xml:space="preserve">ARTÍCULO 7°. </w:t>
      </w:r>
      <w:r>
        <w:rPr>
          <w:rFonts w:ascii="Arial" w:cs="Arial" w:eastAsia="Arial" w:hAnsi="Arial"/>
          <w:b/>
          <w:bCs/>
          <w:color w:val="1B2A4A"/>
          <w:sz w:val="20"/>
          <w:szCs w:val="20"/>
        </w:rPr>
        <w:t xml:space="preserve">PERÍODO DE PRUEBA. </w:t>
      </w:r>
    </w:p>
    <w:p>
      <w:pPr>
        <w:spacing w:before="0" w:after="140"/>
        <w:jc w:val="both"/>
      </w:pPr>
      <w:r>
        <w:rPr>
          <w:rFonts w:ascii="Arial" w:cs="Arial" w:eastAsia="Arial" w:hAnsi="Arial"/>
          <w:sz w:val="20"/>
          <w:szCs w:val="20"/>
        </w:rPr>
        <w:t xml:space="preserve">El período de prueba se pactará por escrito como parte integrante del contrato de trabajo, no podrá exceder de dos (2) meses ni de la quinta parte del término del contrato de trabajo a término fijo. En los contratos de trabajo a término indefinido, el periodo de prueba no podrá exceder de dos (2) meses. Durante este período, cualquiera de las partes podrá terminar el contrato unilateralmente sin previo aviso (art. 78 CST).</w:t>
      </w:r>
    </w:p>
    <w:p>
      <w:pPr>
        <w:spacing w:before="80" w:after="80"/>
        <w:jc w:val="both"/>
      </w:pPr>
      <w:r>
        <w:rPr>
          <w:rFonts w:ascii="Arial" w:cs="Arial" w:eastAsia="Arial" w:hAnsi="Arial"/>
          <w:b w:val="false"/>
          <w:bCs w:val="false"/>
          <w:color w:val="000000"/>
          <w:sz w:val="20"/>
          <w:szCs w:val="20"/>
        </w:rPr>
        <w:t xml:space="preserve"/>
      </w:r>
    </w:p>
    <w:p>
      <w:pPr>
        <w:pStyle w:val="Heading1"/>
        <w:pBdr>
          <w:bottom w:val="single" w:color="C8890A" w:sz="8"/>
        </w:pBdr>
        <w:shd w:fill="1B2A4A" w:val="clear"/>
        <w:spacing w:before="320" w:after="160"/>
        <w:ind w:left="200" w:right="200"/>
      </w:pPr>
      <w:r>
        <w:rPr>
          <w:rFonts w:ascii="Arial" w:cs="Arial" w:eastAsia="Arial" w:hAnsi="Arial"/>
          <w:b/>
          <w:bCs/>
          <w:color w:val="FFFFFF"/>
          <w:sz w:val="28"/>
          <w:szCs w:val="28"/>
        </w:rPr>
        <w:t xml:space="preserve">CAPÍTULO III — MODALIDADES DE CONTRATACIÓN</w:t>
      </w:r>
    </w:p>
    <w:p>
      <w:pPr>
        <w:spacing w:before="200" w:after="80"/>
      </w:pPr>
      <w:r>
        <w:rPr>
          <w:rFonts w:ascii="Arial" w:cs="Arial" w:eastAsia="Arial" w:hAnsi="Arial"/>
          <w:b/>
          <w:bCs/>
          <w:color w:val="1B2A4A"/>
          <w:sz w:val="20"/>
          <w:szCs w:val="20"/>
        </w:rPr>
        <w:t xml:space="preserve">ARTÍCULO 8°. </w:t>
      </w:r>
      <w:r>
        <w:rPr>
          <w:rFonts w:ascii="Arial" w:cs="Arial" w:eastAsia="Arial" w:hAnsi="Arial"/>
          <w:b/>
          <w:bCs/>
          <w:color w:val="1B2A4A"/>
          <w:sz w:val="20"/>
          <w:szCs w:val="20"/>
        </w:rPr>
        <w:t xml:space="preserve">CONTRATO A TÉRMINO INDEFINIDO. </w:t>
      </w:r>
    </w:p>
    <w:p>
      <w:pPr>
        <w:spacing w:before="0" w:after="140"/>
        <w:jc w:val="both"/>
      </w:pPr>
      <w:r>
        <w:rPr>
          <w:rFonts w:ascii="Arial" w:cs="Arial" w:eastAsia="Arial" w:hAnsi="Arial"/>
          <w:sz w:val="20"/>
          <w:szCs w:val="20"/>
        </w:rPr>
        <w:t xml:space="preserve">Conforme al artículo 5° de la Ley 2466 de 2025, el contrato a término indefinido es la modalidad principal de vinculación. La Inspección del Trabajo velará y promoverá la estabilidad laboral bajo esta modalidad. Solo procede la contratación a término fijo u obra labor cuando la naturaleza de las actividades sea genuinamente temporal.</w:t>
      </w:r>
    </w:p>
    <w:p>
      <w:pPr>
        <w:spacing w:before="200" w:after="80"/>
      </w:pPr>
      <w:r>
        <w:rPr>
          <w:rFonts w:ascii="Arial" w:cs="Arial" w:eastAsia="Arial" w:hAnsi="Arial"/>
          <w:b/>
          <w:bCs/>
          <w:color w:val="1B2A4A"/>
          <w:sz w:val="20"/>
          <w:szCs w:val="20"/>
        </w:rPr>
        <w:t xml:space="preserve">ARTÍCULO 9°. </w:t>
      </w:r>
      <w:r>
        <w:rPr>
          <w:rFonts w:ascii="Arial" w:cs="Arial" w:eastAsia="Arial" w:hAnsi="Arial"/>
          <w:b/>
          <w:bCs/>
          <w:color w:val="1B2A4A"/>
          <w:sz w:val="20"/>
          <w:szCs w:val="20"/>
        </w:rPr>
        <w:t xml:space="preserve">CONTRATO A TÉRMINO FIJO. </w:t>
      </w:r>
    </w:p>
    <w:p>
      <w:pPr>
        <w:spacing w:before="0" w:after="140"/>
        <w:jc w:val="both"/>
      </w:pPr>
      <w:r>
        <w:rPr>
          <w:rFonts w:ascii="Arial" w:cs="Arial" w:eastAsia="Arial" w:hAnsi="Arial"/>
          <w:sz w:val="20"/>
          <w:szCs w:val="20"/>
        </w:rPr>
        <w:t xml:space="preserve">Los contratos a término fijo no podrán superar los cuatro (4) años en total de renovaciones sucesivas con el mismo empleador. Los contratos inferiores a un (1) año podrán renovarse hasta cuatro (4) veces; la siguiente prórroga deberá ser como mínimo por un (1) año. Al cumplirse el plazo máximo de cuatro (4) años sin interrupción, el contrato se convertirá automáticamente en indefinido (art. 5° Ley 2466 de 2025).</w:t>
      </w:r>
    </w:p>
    <w:p>
      <w:pPr>
        <w:spacing w:before="200" w:after="80"/>
      </w:pPr>
      <w:r>
        <w:rPr>
          <w:rFonts w:ascii="Arial" w:cs="Arial" w:eastAsia="Arial" w:hAnsi="Arial"/>
          <w:b/>
          <w:bCs/>
          <w:color w:val="1B2A4A"/>
          <w:sz w:val="20"/>
          <w:szCs w:val="20"/>
        </w:rPr>
        <w:t xml:space="preserve">ARTÍCULO 10°. </w:t>
      </w:r>
      <w:r>
        <w:rPr>
          <w:rFonts w:ascii="Arial" w:cs="Arial" w:eastAsia="Arial" w:hAnsi="Arial"/>
          <w:b/>
          <w:bCs/>
          <w:color w:val="1B2A4A"/>
          <w:sz w:val="20"/>
          <w:szCs w:val="20"/>
        </w:rPr>
        <w:t xml:space="preserve">TELETRABAJO Y TRABAJO REMOTO. </w:t>
      </w:r>
    </w:p>
    <w:p>
      <w:pPr>
        <w:spacing w:before="0" w:after="140"/>
        <w:jc w:val="both"/>
      </w:pPr>
      <w:r>
        <w:rPr>
          <w:rFonts w:ascii="Arial" w:cs="Arial" w:eastAsia="Arial" w:hAnsi="Arial"/>
          <w:sz w:val="20"/>
          <w:szCs w:val="20"/>
        </w:rPr>
        <w:t xml:space="preserve">La empresa podrá adoptar las modalidades de teletrabajo (Ley 1221 de 2008), trabajo en casa (Circular 0021/2020 Min. Trabajo) o trabajo remoto, según los acuerdos suscritos con el trabajador. El teletrabajador que devengue menos de dos (2) SMMLV tendrá derecho a un auxilio de conectividad en sustitución del auxilio de transporte, el cual no es constitutivo de salario pero se incluirá en la base para el cálculo de prestaciones sociales (art. Ley 2466 de 2025). El empleador garantizará el derecho a la desconexión digital fuera de la jornada pactada.</w:t>
      </w:r>
    </w:p>
    <w:p>
      <w:pPr>
        <w:spacing w:before="80" w:after="80"/>
        <w:jc w:val="both"/>
      </w:pPr>
      <w:r>
        <w:rPr>
          <w:rFonts w:ascii="Arial" w:cs="Arial" w:eastAsia="Arial" w:hAnsi="Arial"/>
          <w:b w:val="false"/>
          <w:bCs w:val="false"/>
          <w:color w:val="000000"/>
          <w:sz w:val="20"/>
          <w:szCs w:val="20"/>
        </w:rPr>
        <w:t xml:space="preserve"/>
      </w:r>
    </w:p>
    <w:p>
      <w:pPr>
        <w:pStyle w:val="Heading1"/>
        <w:pBdr>
          <w:bottom w:val="single" w:color="C8890A" w:sz="8"/>
        </w:pBdr>
        <w:shd w:fill="1B2A4A" w:val="clear"/>
        <w:spacing w:before="320" w:after="160"/>
        <w:ind w:left="200" w:right="200"/>
      </w:pPr>
      <w:r>
        <w:rPr>
          <w:rFonts w:ascii="Arial" w:cs="Arial" w:eastAsia="Arial" w:hAnsi="Arial"/>
          <w:b/>
          <w:bCs/>
          <w:color w:val="FFFFFF"/>
          <w:sz w:val="28"/>
          <w:szCs w:val="28"/>
        </w:rPr>
        <w:t xml:space="preserve">CAPÍTULO IV — JORNADA DE TRABAJO</w:t>
      </w:r>
    </w:p>
    <w:p>
      <w:pPr>
        <w:spacing w:before="200" w:after="80"/>
      </w:pPr>
      <w:r>
        <w:rPr>
          <w:rFonts w:ascii="Arial" w:cs="Arial" w:eastAsia="Arial" w:hAnsi="Arial"/>
          <w:b/>
          <w:bCs/>
          <w:color w:val="1B2A4A"/>
          <w:sz w:val="20"/>
          <w:szCs w:val="20"/>
        </w:rPr>
        <w:t xml:space="preserve">ARTÍCULO 11°. </w:t>
      </w:r>
      <w:r>
        <w:rPr>
          <w:rFonts w:ascii="Arial" w:cs="Arial" w:eastAsia="Arial" w:hAnsi="Arial"/>
          <w:b/>
          <w:bCs/>
          <w:color w:val="1B2A4A"/>
          <w:sz w:val="20"/>
          <w:szCs w:val="20"/>
        </w:rPr>
        <w:t xml:space="preserve">JORNADA MÁXIMA LEGAL. </w:t>
      </w:r>
    </w:p>
    <w:p>
      <w:pPr>
        <w:spacing w:before="0" w:after="140"/>
        <w:jc w:val="both"/>
      </w:pPr>
      <w:r>
        <w:rPr>
          <w:rFonts w:ascii="Arial" w:cs="Arial" w:eastAsia="Arial" w:hAnsi="Arial"/>
          <w:sz w:val="20"/>
          <w:szCs w:val="20"/>
        </w:rPr>
        <w:t xml:space="preserve">La jornada ordinaria de trabajo es la que las partes acuerden, sin exceder los límites establecidos en el Código Sustantivo del Trabajo y en la Ley 2101 de 2021, que establece la reducción progresiva de la jornada semanal: 44 horas desde el 15 de julio de 2025 y 42 horas a partir del 15 de julio de 2026, sin reducción salarial. La jornada máxima diaria es de ocho (8) horas (art. 13 Ley 2466 de 2025).</w:t>
      </w:r>
    </w:p>
    <w:p>
      <w:pPr>
        <w:spacing w:before="200" w:after="80"/>
      </w:pPr>
      <w:r>
        <w:rPr>
          <w:rFonts w:ascii="Arial" w:cs="Arial" w:eastAsia="Arial" w:hAnsi="Arial"/>
          <w:b/>
          <w:bCs/>
          <w:color w:val="1B2A4A"/>
          <w:sz w:val="20"/>
          <w:szCs w:val="20"/>
        </w:rPr>
        <w:t xml:space="preserve">ARTÍCULO 12°. </w:t>
      </w:r>
      <w:r>
        <w:rPr>
          <w:rFonts w:ascii="Arial" w:cs="Arial" w:eastAsia="Arial" w:hAnsi="Arial"/>
          <w:b/>
          <w:bCs/>
          <w:color w:val="1B2A4A"/>
          <w:sz w:val="20"/>
          <w:szCs w:val="20"/>
        </w:rPr>
        <w:t xml:space="preserve">HORARIO DE TRABAJO. </w:t>
      </w:r>
    </w:p>
    <w:p>
      <w:pPr>
        <w:spacing w:before="0" w:after="140"/>
        <w:jc w:val="both"/>
      </w:pPr>
      <w:r>
        <w:rPr>
          <w:rFonts w:ascii="Arial" w:cs="Arial" w:eastAsia="Arial" w:hAnsi="Arial"/>
          <w:sz w:val="20"/>
          <w:szCs w:val="20"/>
        </w:rPr>
        <w:t xml:space="preserve">Los horarios específicos de trabajo para cada área o cargo serán definidos por la empresa según sus necesidades operativas y se comunicarán al trabajador en el contrato de trabajo o en comunicación escrita. La empresa podrá establecer turnos, jornadas flexibles u otras modalidades de organización del tiempo de trabajo, garantizando siempre el respeto a la jornada máxima legal.</w:t>
      </w:r>
    </w:p>
    <w:p>
      <w:pPr>
        <w:spacing w:before="200" w:after="80"/>
      </w:pPr>
      <w:r>
        <w:rPr>
          <w:rFonts w:ascii="Arial" w:cs="Arial" w:eastAsia="Arial" w:hAnsi="Arial"/>
          <w:b/>
          <w:bCs/>
          <w:color w:val="1B2A4A"/>
          <w:sz w:val="20"/>
          <w:szCs w:val="20"/>
        </w:rPr>
        <w:t xml:space="preserve">ARTÍCULO 13°. </w:t>
      </w:r>
      <w:r>
        <w:rPr>
          <w:rFonts w:ascii="Arial" w:cs="Arial" w:eastAsia="Arial" w:hAnsi="Arial"/>
          <w:b/>
          <w:bCs/>
          <w:color w:val="1B2A4A"/>
          <w:sz w:val="20"/>
          <w:szCs w:val="20"/>
        </w:rPr>
        <w:t xml:space="preserve">TRABAJO DIURNO Y NOCTURNO. </w:t>
      </w:r>
    </w:p>
    <w:p>
      <w:pPr>
        <w:spacing w:before="0" w:after="140"/>
        <w:jc w:val="both"/>
      </w:pPr>
      <w:r>
        <w:rPr>
          <w:rFonts w:ascii="Arial" w:cs="Arial" w:eastAsia="Arial" w:hAnsi="Arial"/>
          <w:sz w:val="20"/>
          <w:szCs w:val="20"/>
        </w:rPr>
        <w:t xml:space="preserve">Conforme al artículo 13 de la Ley 2466 de 2025 —con vigencia a partir de los seis (6) meses siguientes a su sanción (25 de diciembre de 2025)—: el trabajo diurno comprende el realizado entre las 6:00 a.m. y las 7:00 p.m.; el trabajo nocturno, el realizado entre las 7:00 p.m. y las 6:00 a.m. El recargo nocturno será del 35% sobre el valor del trabajo ordinario diurno.</w:t>
      </w:r>
    </w:p>
    <w:p>
      <w:pPr>
        <w:spacing w:before="200" w:after="80"/>
      </w:pPr>
      <w:r>
        <w:rPr>
          <w:rFonts w:ascii="Arial" w:cs="Arial" w:eastAsia="Arial" w:hAnsi="Arial"/>
          <w:b/>
          <w:bCs/>
          <w:color w:val="1B2A4A"/>
          <w:sz w:val="20"/>
          <w:szCs w:val="20"/>
        </w:rPr>
        <w:t xml:space="preserve">ARTÍCULO 14°. </w:t>
      </w:r>
      <w:r>
        <w:rPr>
          <w:rFonts w:ascii="Arial" w:cs="Arial" w:eastAsia="Arial" w:hAnsi="Arial"/>
          <w:b/>
          <w:bCs/>
          <w:color w:val="1B2A4A"/>
          <w:sz w:val="20"/>
          <w:szCs w:val="20"/>
        </w:rPr>
        <w:t xml:space="preserve">HORAS EXTRAS Y TRABAJO SUPLEMENTARIO. </w:t>
      </w:r>
    </w:p>
    <w:p>
      <w:pPr>
        <w:spacing w:before="0" w:after="140"/>
        <w:jc w:val="both"/>
      </w:pPr>
      <w:r>
        <w:rPr>
          <w:rFonts w:ascii="Arial" w:cs="Arial" w:eastAsia="Arial" w:hAnsi="Arial"/>
          <w:sz w:val="20"/>
          <w:szCs w:val="20"/>
        </w:rPr>
        <w:t xml:space="preserve">Las horas extras (trabajo suplementario) son las que exceden de la jornada ordinaria pactada. En ningún caso podrán exceder de dos (2) horas diarias y doce (12) semanales. La Ley 2466 de 2025 eliminó la autorización previa del Ministerio de Trabajo para laborar horas extras, pero mantiene la obligación del empleador de llevar un registro del trabajo suplementario de cada trabajador, con nombre, actividad desarrollada, número de horas y especificación si son diurnas o nocturnas. Los recargos aplicables son: horas extra diurnas 25%, horas extra nocturnas 75%, horas extra dominicales o festivas diurnas 100%, horas extra dominicales o festivas nocturnas 150%.</w:t>
      </w:r>
    </w:p>
    <w:p>
      <w:pPr>
        <w:spacing w:before="200" w:after="80"/>
      </w:pPr>
      <w:r>
        <w:rPr>
          <w:rFonts w:ascii="Arial" w:cs="Arial" w:eastAsia="Arial" w:hAnsi="Arial"/>
          <w:b/>
          <w:bCs/>
          <w:color w:val="1B2A4A"/>
          <w:sz w:val="20"/>
          <w:szCs w:val="20"/>
        </w:rPr>
        <w:t xml:space="preserve">ARTÍCULO 15°. </w:t>
      </w:r>
      <w:r>
        <w:rPr>
          <w:rFonts w:ascii="Arial" w:cs="Arial" w:eastAsia="Arial" w:hAnsi="Arial"/>
          <w:b/>
          <w:bCs/>
          <w:color w:val="1B2A4A"/>
          <w:sz w:val="20"/>
          <w:szCs w:val="20"/>
        </w:rPr>
        <w:t xml:space="preserve">DESCANSO DOMINICAL Y EN DÍAS FESTIVOS. </w:t>
      </w:r>
    </w:p>
    <w:p>
      <w:pPr>
        <w:spacing w:before="0" w:after="140"/>
        <w:jc w:val="both"/>
      </w:pPr>
      <w:r>
        <w:rPr>
          <w:rFonts w:ascii="Arial" w:cs="Arial" w:eastAsia="Arial" w:hAnsi="Arial"/>
          <w:sz w:val="20"/>
          <w:szCs w:val="20"/>
        </w:rPr>
        <w:t xml:space="preserve">Los trabajadores tienen derecho al descanso remunerado en dominicales y festivos. Por acuerdo expreso entre las partes, podrá pactarse un día diferente al domingo como día de descanso semanal (Ley 2466 de 2025). El recargo dominical y/o festivo se pagará de forma gradual hasta alcanzar el 100%: 80% en 2025, 90% en 2026 y 100% a partir de 2027, sobre el salario ordinario (art. 14 Ley 2466 de 2025).</w:t>
      </w:r>
    </w:p>
    <w:p>
      <w:pPr>
        <w:spacing w:before="200" w:after="80"/>
      </w:pPr>
      <w:r>
        <w:rPr>
          <w:rFonts w:ascii="Arial" w:cs="Arial" w:eastAsia="Arial" w:hAnsi="Arial"/>
          <w:b/>
          <w:bCs/>
          <w:color w:val="1B2A4A"/>
          <w:sz w:val="20"/>
          <w:szCs w:val="20"/>
        </w:rPr>
        <w:t xml:space="preserve">ARTÍCULO 16°. </w:t>
      </w:r>
      <w:r>
        <w:rPr>
          <w:rFonts w:ascii="Arial" w:cs="Arial" w:eastAsia="Arial" w:hAnsi="Arial"/>
          <w:b/>
          <w:bCs/>
          <w:color w:val="1B2A4A"/>
          <w:sz w:val="20"/>
          <w:szCs w:val="20"/>
        </w:rPr>
        <w:t xml:space="preserve">DESCANSO COMPENSATORIO. </w:t>
      </w:r>
    </w:p>
    <w:p>
      <w:pPr>
        <w:spacing w:before="0" w:after="140"/>
        <w:jc w:val="both"/>
      </w:pPr>
      <w:r>
        <w:rPr>
          <w:rFonts w:ascii="Arial" w:cs="Arial" w:eastAsia="Arial" w:hAnsi="Arial"/>
          <w:sz w:val="20"/>
          <w:szCs w:val="20"/>
        </w:rPr>
        <w:t xml:space="preserve">Cuando un trabajador labore en día de descanso obligatorio, tendrá derecho a un descanso compensatorio remunerado o al recargo del 100% sobre el salario del día, según la modalidad pactada. El trabajo en día de descanso obligatorio es ocasional cuando se labora hasta dos (2) días de descanso obligatorio en el mes calendario, y habitual cuando se laboran tres (3) o más.</w:t>
      </w:r>
    </w:p>
    <w:p>
      <w:pPr>
        <w:spacing w:before="80" w:after="80"/>
        <w:jc w:val="both"/>
      </w:pPr>
      <w:r>
        <w:rPr>
          <w:rFonts w:ascii="Arial" w:cs="Arial" w:eastAsia="Arial" w:hAnsi="Arial"/>
          <w:b w:val="false"/>
          <w:bCs w:val="false"/>
          <w:color w:val="000000"/>
          <w:sz w:val="20"/>
          <w:szCs w:val="20"/>
        </w:rPr>
        <w:t xml:space="preserve"/>
      </w:r>
    </w:p>
    <w:p>
      <w:pPr>
        <w:pStyle w:val="Heading1"/>
        <w:pBdr>
          <w:bottom w:val="single" w:color="C8890A" w:sz="8"/>
        </w:pBdr>
        <w:shd w:fill="1B2A4A" w:val="clear"/>
        <w:spacing w:before="320" w:after="160"/>
        <w:ind w:left="200" w:right="200"/>
      </w:pPr>
      <w:r>
        <w:rPr>
          <w:rFonts w:ascii="Arial" w:cs="Arial" w:eastAsia="Arial" w:hAnsi="Arial"/>
          <w:b/>
          <w:bCs/>
          <w:color w:val="FFFFFF"/>
          <w:sz w:val="28"/>
          <w:szCs w:val="28"/>
        </w:rPr>
        <w:t xml:space="preserve">CAPÍTULO V — SALARIOS Y PRESTACIONES SOCIALES</w:t>
      </w:r>
    </w:p>
    <w:p>
      <w:pPr>
        <w:spacing w:before="200" w:after="80"/>
      </w:pPr>
      <w:r>
        <w:rPr>
          <w:rFonts w:ascii="Arial" w:cs="Arial" w:eastAsia="Arial" w:hAnsi="Arial"/>
          <w:b/>
          <w:bCs/>
          <w:color w:val="1B2A4A"/>
          <w:sz w:val="20"/>
          <w:szCs w:val="20"/>
        </w:rPr>
        <w:t xml:space="preserve">ARTÍCULO 17°. </w:t>
      </w:r>
      <w:r>
        <w:rPr>
          <w:rFonts w:ascii="Arial" w:cs="Arial" w:eastAsia="Arial" w:hAnsi="Arial"/>
          <w:b/>
          <w:bCs/>
          <w:color w:val="1B2A4A"/>
          <w:sz w:val="20"/>
          <w:szCs w:val="20"/>
        </w:rPr>
        <w:t xml:space="preserve">SALARIO. </w:t>
      </w:r>
    </w:p>
    <w:p>
      <w:pPr>
        <w:spacing w:before="0" w:after="140"/>
        <w:jc w:val="both"/>
      </w:pPr>
      <w:r>
        <w:rPr>
          <w:rFonts w:ascii="Arial" w:cs="Arial" w:eastAsia="Arial" w:hAnsi="Arial"/>
          <w:sz w:val="20"/>
          <w:szCs w:val="20"/>
        </w:rPr>
        <w:t xml:space="preserve">La empresa pagará a sus trabajadores el salario convenido en el contrato de trabajo, el cual nunca podrá ser inferior al Salario Mínimo Legal Mensual Vigente (SMMLV). El salario se pagará en períodos no mayores a un (1) mes. Se identificarán claramente los componentes salariales y los que por acuerdo expreso no constituyan salario, según el artículo 128 del CST.</w:t>
      </w:r>
    </w:p>
    <w:p>
      <w:pPr>
        <w:spacing w:before="200" w:after="80"/>
      </w:pPr>
      <w:r>
        <w:rPr>
          <w:rFonts w:ascii="Arial" w:cs="Arial" w:eastAsia="Arial" w:hAnsi="Arial"/>
          <w:b/>
          <w:bCs/>
          <w:color w:val="1B2A4A"/>
          <w:sz w:val="20"/>
          <w:szCs w:val="20"/>
        </w:rPr>
        <w:t xml:space="preserve">ARTÍCULO 18°. </w:t>
      </w:r>
      <w:r>
        <w:rPr>
          <w:rFonts w:ascii="Arial" w:cs="Arial" w:eastAsia="Arial" w:hAnsi="Arial"/>
          <w:b/>
          <w:bCs/>
          <w:color w:val="1B2A4A"/>
          <w:sz w:val="20"/>
          <w:szCs w:val="20"/>
        </w:rPr>
        <w:t xml:space="preserve">AUXILIO DE TRANSPORTE. </w:t>
      </w:r>
    </w:p>
    <w:p>
      <w:pPr>
        <w:spacing w:before="0" w:after="140"/>
        <w:jc w:val="both"/>
      </w:pPr>
      <w:r>
        <w:rPr>
          <w:rFonts w:ascii="Arial" w:cs="Arial" w:eastAsia="Arial" w:hAnsi="Arial"/>
          <w:sz w:val="20"/>
          <w:szCs w:val="20"/>
        </w:rPr>
        <w:t xml:space="preserve">Los trabajadores que devenguen hasta dos (2) SMMLV y que laboren de forma presencial tendrán derecho al auxilio de transporte en el valor fijado anualmente por el Gobierno Nacional. Para los teletrabajadores y trabajadores remotos que devenguen menos de dos (2) SMMLV se reconocerá el auxilio de conectividad en los términos de la Ley 2466 de 2025, el cual sustituye al auxilio de transporte.</w:t>
      </w:r>
    </w:p>
    <w:p>
      <w:pPr>
        <w:spacing w:before="200" w:after="80"/>
      </w:pPr>
      <w:r>
        <w:rPr>
          <w:rFonts w:ascii="Arial" w:cs="Arial" w:eastAsia="Arial" w:hAnsi="Arial"/>
          <w:b/>
          <w:bCs/>
          <w:color w:val="1B2A4A"/>
          <w:sz w:val="20"/>
          <w:szCs w:val="20"/>
        </w:rPr>
        <w:t xml:space="preserve">ARTÍCULO 19°. </w:t>
      </w:r>
      <w:r>
        <w:rPr>
          <w:rFonts w:ascii="Arial" w:cs="Arial" w:eastAsia="Arial" w:hAnsi="Arial"/>
          <w:b/>
          <w:bCs/>
          <w:color w:val="1B2A4A"/>
          <w:sz w:val="20"/>
          <w:szCs w:val="20"/>
        </w:rPr>
        <w:t xml:space="preserve">CESANTÍAS E INTERESES DE CESANTÍAS. </w:t>
      </w:r>
    </w:p>
    <w:p>
      <w:pPr>
        <w:spacing w:before="0" w:after="140"/>
        <w:jc w:val="both"/>
      </w:pPr>
      <w:r>
        <w:rPr>
          <w:rFonts w:ascii="Arial" w:cs="Arial" w:eastAsia="Arial" w:hAnsi="Arial"/>
          <w:sz w:val="20"/>
          <w:szCs w:val="20"/>
        </w:rPr>
        <w:t xml:space="preserve">La empresa consignará anualmente en el Fondo de Cesantías elegido por el trabajador, a más tardar el 14 de febrero de cada año, el valor correspondiente a un (1) salario mensual por año de servicio o proporcional por fracción. La empresa pagará intereses sobre cesantías equivalentes al 12% anual sobre el saldo a 31 de diciembre, a más tardar el 31 de enero del año siguiente. Según el artículo 64 de la Ley 2466 de 2025 (Régimen Simple Laboral), las partes podrán acordar por escrito la consignación mensual anticipada de cesantías (8,33% del salario base) y el pago mensualizado de intereses (1% mensual).</w:t>
      </w:r>
    </w:p>
    <w:p>
      <w:pPr>
        <w:spacing w:before="200" w:after="80"/>
      </w:pPr>
      <w:r>
        <w:rPr>
          <w:rFonts w:ascii="Arial" w:cs="Arial" w:eastAsia="Arial" w:hAnsi="Arial"/>
          <w:b/>
          <w:bCs/>
          <w:color w:val="1B2A4A"/>
          <w:sz w:val="20"/>
          <w:szCs w:val="20"/>
        </w:rPr>
        <w:t xml:space="preserve">ARTÍCULO 20°. </w:t>
      </w:r>
      <w:r>
        <w:rPr>
          <w:rFonts w:ascii="Arial" w:cs="Arial" w:eastAsia="Arial" w:hAnsi="Arial"/>
          <w:b/>
          <w:bCs/>
          <w:color w:val="1B2A4A"/>
          <w:sz w:val="20"/>
          <w:szCs w:val="20"/>
        </w:rPr>
        <w:t xml:space="preserve">PRIMA DE SERVICIOS. </w:t>
      </w:r>
    </w:p>
    <w:p>
      <w:pPr>
        <w:spacing w:before="0" w:after="140"/>
        <w:jc w:val="both"/>
      </w:pPr>
      <w:r>
        <w:rPr>
          <w:rFonts w:ascii="Arial" w:cs="Arial" w:eastAsia="Arial" w:hAnsi="Arial"/>
          <w:sz w:val="20"/>
          <w:szCs w:val="20"/>
        </w:rPr>
        <w:t xml:space="preserve">La empresa pagará a cada trabajador una prima de servicios equivalente a quince (15) días de salario por semestre calendario trabajado o proporcional por fracción, pagadera en los meses de junio y diciembre de cada año (art. 306 CST).</w:t>
      </w:r>
    </w:p>
    <w:p>
      <w:pPr>
        <w:spacing w:before="200" w:after="80"/>
      </w:pPr>
      <w:r>
        <w:rPr>
          <w:rFonts w:ascii="Arial" w:cs="Arial" w:eastAsia="Arial" w:hAnsi="Arial"/>
          <w:b/>
          <w:bCs/>
          <w:color w:val="1B2A4A"/>
          <w:sz w:val="20"/>
          <w:szCs w:val="20"/>
        </w:rPr>
        <w:t xml:space="preserve">ARTÍCULO 21°. </w:t>
      </w:r>
      <w:r>
        <w:rPr>
          <w:rFonts w:ascii="Arial" w:cs="Arial" w:eastAsia="Arial" w:hAnsi="Arial"/>
          <w:b/>
          <w:bCs/>
          <w:color w:val="1B2A4A"/>
          <w:sz w:val="20"/>
          <w:szCs w:val="20"/>
        </w:rPr>
        <w:t xml:space="preserve">VACACIONES. </w:t>
      </w:r>
    </w:p>
    <w:p>
      <w:pPr>
        <w:spacing w:before="0" w:after="140"/>
        <w:jc w:val="both"/>
      </w:pPr>
      <w:r>
        <w:rPr>
          <w:rFonts w:ascii="Arial" w:cs="Arial" w:eastAsia="Arial" w:hAnsi="Arial"/>
          <w:sz w:val="20"/>
          <w:szCs w:val="20"/>
        </w:rPr>
        <w:t xml:space="preserve">Los trabajadores tendrán derecho a vacaciones remuneradas de quince (15) días hábiles por cada año de trabajo, o proporcional por fracción superior a seis (6) meses. Las vacaciones serán concedidas por la empresa de conformidad con las necesidades del servicio y los requerimientos del trabajador.</w:t>
      </w:r>
    </w:p>
    <w:p>
      <w:pPr>
        <w:spacing w:before="80" w:after="80"/>
        <w:jc w:val="both"/>
      </w:pPr>
      <w:r>
        <w:rPr>
          <w:rFonts w:ascii="Arial" w:cs="Arial" w:eastAsia="Arial" w:hAnsi="Arial"/>
          <w:b w:val="false"/>
          <w:bCs w:val="false"/>
          <w:color w:val="000000"/>
          <w:sz w:val="20"/>
          <w:szCs w:val="20"/>
        </w:rPr>
        <w:t xml:space="preserve"/>
      </w:r>
    </w:p>
    <w:p>
      <w:pPr>
        <w:pStyle w:val="Heading1"/>
        <w:pBdr>
          <w:bottom w:val="single" w:color="C8890A" w:sz="8"/>
        </w:pBdr>
        <w:shd w:fill="1B2A4A" w:val="clear"/>
        <w:spacing w:before="320" w:after="160"/>
        <w:ind w:left="200" w:right="200"/>
      </w:pPr>
      <w:r>
        <w:rPr>
          <w:rFonts w:ascii="Arial" w:cs="Arial" w:eastAsia="Arial" w:hAnsi="Arial"/>
          <w:b/>
          <w:bCs/>
          <w:color w:val="FFFFFF"/>
          <w:sz w:val="28"/>
          <w:szCs w:val="28"/>
        </w:rPr>
        <w:t xml:space="preserve">CAPÍTULO VI — PROCEDIMIENTO DISCIPLINARIO</w:t>
      </w:r>
    </w:p>
    <w:p>
      <w:pPr>
        <w:spacing w:before="80" w:after="80"/>
        <w:jc w:val="both"/>
      </w:pPr>
      <w:r>
        <w:rPr>
          <w:rFonts w:ascii="Arial" w:cs="Arial" w:eastAsia="Arial" w:hAnsi="Arial"/>
          <w:b w:val="false"/>
          <w:bCs w:val="false"/>
          <w:color w:val="000000"/>
          <w:sz w:val="20"/>
          <w:szCs w:val="20"/>
        </w:rPr>
        <w:t xml:space="preserve">El presente capítulo se expide en cumplimiento de los artículos 111 a 115 del CST y del procedimiento establecido en el artículo 7° de la Ley 2466 de 2025, que exige garantizar el debido proceso, el derecho de defensa y la proporcionalidad de las sanciones.</w:t>
      </w:r>
    </w:p>
    <w:p>
      <w:pPr>
        <w:spacing w:before="200" w:after="80"/>
      </w:pPr>
      <w:r>
        <w:rPr>
          <w:rFonts w:ascii="Arial" w:cs="Arial" w:eastAsia="Arial" w:hAnsi="Arial"/>
          <w:b/>
          <w:bCs/>
          <w:color w:val="1B2A4A"/>
          <w:sz w:val="20"/>
          <w:szCs w:val="20"/>
        </w:rPr>
        <w:t xml:space="preserve">ARTÍCULO 22°. </w:t>
      </w:r>
      <w:r>
        <w:rPr>
          <w:rFonts w:ascii="Arial" w:cs="Arial" w:eastAsia="Arial" w:hAnsi="Arial"/>
          <w:b/>
          <w:bCs/>
          <w:color w:val="1B2A4A"/>
          <w:sz w:val="20"/>
          <w:szCs w:val="20"/>
        </w:rPr>
        <w:t xml:space="preserve">FALTAS Y SANCIONES. </w:t>
      </w:r>
    </w:p>
    <w:p>
      <w:pPr>
        <w:spacing w:before="0" w:after="140"/>
        <w:jc w:val="both"/>
      </w:pPr>
      <w:r>
        <w:rPr>
          <w:rFonts w:ascii="Arial" w:cs="Arial" w:eastAsia="Arial" w:hAnsi="Arial"/>
          <w:sz w:val="20"/>
          <w:szCs w:val="20"/>
        </w:rPr>
        <w:t xml:space="preserve">Constituyen faltas disciplinarias todas aquellas conductas que impliquen incumplimiento de las obligaciones laborales, del presente reglamento, de las instrucciones impartidas por la empresa, o las conductas previstas como tal en la ley. Las sanciones aplicables son: amonestación verbal, amonestación escrita y suspensión sin goce de salario, según la gravedad de la falta y con sujeción al procedimiento legal.</w:t>
      </w:r>
    </w:p>
    <w:p>
      <w:pPr>
        <w:spacing w:before="200" w:after="80"/>
      </w:pPr>
      <w:r>
        <w:rPr>
          <w:rFonts w:ascii="Arial" w:cs="Arial" w:eastAsia="Arial" w:hAnsi="Arial"/>
          <w:b/>
          <w:bCs/>
          <w:color w:val="1B2A4A"/>
          <w:sz w:val="20"/>
          <w:szCs w:val="20"/>
        </w:rPr>
        <w:t xml:space="preserve">ARTÍCULO 23°. </w:t>
      </w:r>
      <w:r>
        <w:rPr>
          <w:rFonts w:ascii="Arial" w:cs="Arial" w:eastAsia="Arial" w:hAnsi="Arial"/>
          <w:b/>
          <w:bCs/>
          <w:color w:val="1B2A4A"/>
          <w:sz w:val="20"/>
          <w:szCs w:val="20"/>
        </w:rPr>
        <w:t xml:space="preserve">PROCEDIMIENTO DISCIPLINARIO. </w:t>
      </w:r>
    </w:p>
    <w:p>
      <w:pPr>
        <w:spacing w:before="0" w:after="140"/>
        <w:jc w:val="both"/>
      </w:pPr>
      <w:r>
        <w:rPr>
          <w:rFonts w:ascii="Arial" w:cs="Arial" w:eastAsia="Arial" w:hAnsi="Arial"/>
          <w:sz w:val="20"/>
          <w:szCs w:val="20"/>
        </w:rPr>
        <w:t xml:space="preserve">Toda sanción disciplinaria deberá observar el siguiente procedimiento, conforme al artículo 7° de la Ley 2466 de 2025:</w:t>
      </w:r>
    </w:p>
    <w:p>
      <w:pPr>
        <w:pStyle w:val="ListParagraph"/>
        <w:numPr>
          <w:ilvl w:val="0"/>
          <w:numId w:val="2"/>
        </w:numPr>
        <w:spacing w:before="60" w:after="60"/>
      </w:pPr>
      <w:r>
        <w:rPr>
          <w:rFonts w:ascii="Arial" w:cs="Arial" w:eastAsia="Arial" w:hAnsi="Arial"/>
          <w:sz w:val="20"/>
          <w:szCs w:val="20"/>
        </w:rPr>
        <w:t xml:space="preserve">1. Comunicación formal escrita al trabajador indicando los hechos que se le imputan.</w:t>
      </w:r>
    </w:p>
    <w:p>
      <w:pPr>
        <w:pStyle w:val="ListParagraph"/>
        <w:numPr>
          <w:ilvl w:val="0"/>
          <w:numId w:val="2"/>
        </w:numPr>
        <w:spacing w:before="60" w:after="60"/>
      </w:pPr>
      <w:r>
        <w:rPr>
          <w:rFonts w:ascii="Arial" w:cs="Arial" w:eastAsia="Arial" w:hAnsi="Arial"/>
          <w:sz w:val="20"/>
          <w:szCs w:val="20"/>
        </w:rPr>
        <w:t xml:space="preserve">2. Traslado al trabajador de las pruebas o evidencias en que se sustenta la imputación.</w:t>
      </w:r>
    </w:p>
    <w:p>
      <w:pPr>
        <w:pStyle w:val="ListParagraph"/>
        <w:numPr>
          <w:ilvl w:val="0"/>
          <w:numId w:val="2"/>
        </w:numPr>
        <w:spacing w:before="60" w:after="60"/>
      </w:pPr>
      <w:r>
        <w:rPr>
          <w:rFonts w:ascii="Arial" w:cs="Arial" w:eastAsia="Arial" w:hAnsi="Arial"/>
          <w:sz w:val="20"/>
          <w:szCs w:val="20"/>
        </w:rPr>
        <w:t xml:space="preserve">3. Otorgamiento de un término de cinco (5) días hábiles para que el trabajador presente sus descargos.</w:t>
      </w:r>
    </w:p>
    <w:p>
      <w:pPr>
        <w:pStyle w:val="ListParagraph"/>
        <w:numPr>
          <w:ilvl w:val="0"/>
          <w:numId w:val="2"/>
        </w:numPr>
        <w:spacing w:before="60" w:after="60"/>
      </w:pPr>
      <w:r>
        <w:rPr>
          <w:rFonts w:ascii="Arial" w:cs="Arial" w:eastAsia="Arial" w:hAnsi="Arial"/>
          <w:sz w:val="20"/>
          <w:szCs w:val="20"/>
        </w:rPr>
        <w:t xml:space="preserve">4. Evaluación objetiva de los descargos y las pruebas aportadas por el trabajador.</w:t>
      </w:r>
    </w:p>
    <w:p>
      <w:pPr>
        <w:pStyle w:val="ListParagraph"/>
        <w:numPr>
          <w:ilvl w:val="0"/>
          <w:numId w:val="2"/>
        </w:numPr>
        <w:spacing w:before="60" w:after="60"/>
      </w:pPr>
      <w:r>
        <w:rPr>
          <w:rFonts w:ascii="Arial" w:cs="Arial" w:eastAsia="Arial" w:hAnsi="Arial"/>
          <w:sz w:val="20"/>
          <w:szCs w:val="20"/>
        </w:rPr>
        <w:t xml:space="preserve">5. Pronunciamiento definitivo y motivado de la empresa, con indicación de la sanción proporcional a los hechos.</w:t>
      </w:r>
    </w:p>
    <w:p>
      <w:pPr>
        <w:pStyle w:val="ListParagraph"/>
        <w:numPr>
          <w:ilvl w:val="0"/>
          <w:numId w:val="2"/>
        </w:numPr>
        <w:spacing w:before="60" w:after="60"/>
      </w:pPr>
      <w:r>
        <w:rPr>
          <w:rFonts w:ascii="Arial" w:cs="Arial" w:eastAsia="Arial" w:hAnsi="Arial"/>
          <w:sz w:val="20"/>
          <w:szCs w:val="20"/>
        </w:rPr>
        <w:t xml:space="preserve">6. Notificación de la decisión al trabajador con indicación del recurso de impugnación.</w:t>
      </w:r>
    </w:p>
    <w:p>
      <w:pPr>
        <w:pStyle w:val="ListParagraph"/>
        <w:numPr>
          <w:ilvl w:val="0"/>
          <w:numId w:val="2"/>
        </w:numPr>
        <w:spacing w:before="60" w:after="60"/>
      </w:pPr>
      <w:r>
        <w:rPr>
          <w:rFonts w:ascii="Arial" w:cs="Arial" w:eastAsia="Arial" w:hAnsi="Arial"/>
          <w:sz w:val="20"/>
          <w:szCs w:val="20"/>
        </w:rPr>
        <w:t xml:space="preserve">7. Posibilidad del trabajador de impugnar la decisión ante la instancia interna o ante las autoridades competentes.</w:t>
      </w:r>
    </w:p>
    <w:p>
      <w:pPr>
        <w:spacing w:before="80" w:after="80"/>
        <w:jc w:val="both"/>
      </w:pPr>
      <w:r>
        <w:rPr>
          <w:rFonts w:ascii="Arial" w:cs="Arial" w:eastAsia="Arial" w:hAnsi="Arial"/>
          <w:b w:val="false"/>
          <w:bCs w:val="false"/>
          <w:color w:val="000000"/>
          <w:sz w:val="20"/>
          <w:szCs w:val="20"/>
        </w:rPr>
        <w:t xml:space="preserve">Parágrafo 1°. Este procedimiento podrá adelantarse utilizando tecnologías de la información y las comunicaciones, siempre que el trabajador cuente con acceso a dichas herramientas.</w:t>
      </w:r>
    </w:p>
    <w:p>
      <w:pPr>
        <w:spacing w:before="80" w:after="80"/>
        <w:jc w:val="both"/>
      </w:pPr>
      <w:r>
        <w:rPr>
          <w:rFonts w:ascii="Arial" w:cs="Arial" w:eastAsia="Arial" w:hAnsi="Arial"/>
          <w:b w:val="false"/>
          <w:bCs w:val="false"/>
          <w:color w:val="000000"/>
          <w:sz w:val="20"/>
          <w:szCs w:val="20"/>
        </w:rPr>
        <w:t xml:space="preserve">Parágrafo 2°. Las micro y pequeñas empresas de menos de diez (10) trabajadores, en los términos del Decreto 957 de 2019, solo tendrán la obligación de escuchar previamente al trabajador sobre los hechos imputados, respetando el derecho de defensa y el debido proceso.</w:t>
      </w:r>
    </w:p>
    <w:p>
      <w:pPr>
        <w:spacing w:before="200" w:after="80"/>
      </w:pPr>
      <w:r>
        <w:rPr>
          <w:rFonts w:ascii="Arial" w:cs="Arial" w:eastAsia="Arial" w:hAnsi="Arial"/>
          <w:b/>
          <w:bCs/>
          <w:color w:val="1B2A4A"/>
          <w:sz w:val="20"/>
          <w:szCs w:val="20"/>
        </w:rPr>
        <w:t xml:space="preserve">ARTÍCULO 24°. </w:t>
      </w:r>
      <w:r>
        <w:rPr>
          <w:rFonts w:ascii="Arial" w:cs="Arial" w:eastAsia="Arial" w:hAnsi="Arial"/>
          <w:b/>
          <w:bCs/>
          <w:color w:val="1B2A4A"/>
          <w:sz w:val="20"/>
          <w:szCs w:val="20"/>
        </w:rPr>
        <w:t xml:space="preserve">PROPORCIONALIDAD DE SANCIONES. </w:t>
      </w:r>
    </w:p>
    <w:p>
      <w:pPr>
        <w:spacing w:before="0" w:after="140"/>
        <w:jc w:val="both"/>
      </w:pPr>
      <w:r>
        <w:rPr>
          <w:rFonts w:ascii="Arial" w:cs="Arial" w:eastAsia="Arial" w:hAnsi="Arial"/>
          <w:sz w:val="20"/>
          <w:szCs w:val="20"/>
        </w:rPr>
        <w:t xml:space="preserve">Las sanciones guardarán proporcionalidad con la gravedad de la falta, los antecedentes disciplinarios del trabajador, el daño causado y las demás circunstancias relevantes. La suspensión sin goce de salario no podrá exceder de ocho (8) días en la primera vez y de dos (2) meses en caso de reincidencia (art. 112 CST). No se podrán imponer dos sanciones por un mismo hecho (non bis in idem).</w:t>
      </w:r>
    </w:p>
    <w:p>
      <w:pPr>
        <w:spacing w:before="200" w:after="80"/>
      </w:pPr>
      <w:r>
        <w:rPr>
          <w:rFonts w:ascii="Arial" w:cs="Arial" w:eastAsia="Arial" w:hAnsi="Arial"/>
          <w:b/>
          <w:bCs/>
          <w:color w:val="1B2A4A"/>
          <w:sz w:val="20"/>
          <w:szCs w:val="20"/>
        </w:rPr>
        <w:t xml:space="preserve">ARTÍCULO 25°. </w:t>
      </w:r>
      <w:r>
        <w:rPr>
          <w:rFonts w:ascii="Arial" w:cs="Arial" w:eastAsia="Arial" w:hAnsi="Arial"/>
          <w:b/>
          <w:bCs/>
          <w:color w:val="1B2A4A"/>
          <w:sz w:val="20"/>
          <w:szCs w:val="20"/>
        </w:rPr>
        <w:t xml:space="preserve">GRADUACIÓN DE FALTAS. </w:t>
      </w:r>
    </w:p>
    <w:p>
      <w:pPr>
        <w:spacing w:before="0" w:after="140"/>
        <w:jc w:val="both"/>
      </w:pPr>
      <w:r>
        <w:rPr>
          <w:rFonts w:ascii="Arial" w:cs="Arial" w:eastAsia="Arial" w:hAnsi="Arial"/>
          <w:sz w:val="20"/>
          <w:szCs w:val="20"/>
        </w:rPr>
        <w:t xml:space="preserve">Se consideran faltas leves, entre otras: los retrasos injustificados, la inobservancia de normas de presentación personal, el incumplimiento de procedimientos administrativos sin consecuencias graves. Se consideran faltas graves, entre otras: el abandono del cargo, la insubordinación, el acoso laboral o sexual, la sustracción de bienes de la empresa, la violación de confidencialidad, y las demás definidas como justa causa de despido en el artículo 62 del CST.</w:t>
      </w:r>
    </w:p>
    <w:p>
      <w:pPr>
        <w:spacing w:before="80" w:after="80"/>
        <w:jc w:val="both"/>
      </w:pPr>
      <w:r>
        <w:rPr>
          <w:rFonts w:ascii="Arial" w:cs="Arial" w:eastAsia="Arial" w:hAnsi="Arial"/>
          <w:b w:val="false"/>
          <w:bCs w:val="false"/>
          <w:color w:val="000000"/>
          <w:sz w:val="20"/>
          <w:szCs w:val="20"/>
        </w:rPr>
        <w:t xml:space="preserve"/>
      </w:r>
    </w:p>
    <w:p>
      <w:pPr>
        <w:pStyle w:val="Heading1"/>
        <w:pBdr>
          <w:bottom w:val="single" w:color="C8890A" w:sz="8"/>
        </w:pBdr>
        <w:shd w:fill="1B2A4A" w:val="clear"/>
        <w:spacing w:before="320" w:after="160"/>
        <w:ind w:left="200" w:right="200"/>
      </w:pPr>
      <w:r>
        <w:rPr>
          <w:rFonts w:ascii="Arial" w:cs="Arial" w:eastAsia="Arial" w:hAnsi="Arial"/>
          <w:b/>
          <w:bCs/>
          <w:color w:val="FFFFFF"/>
          <w:sz w:val="28"/>
          <w:szCs w:val="28"/>
        </w:rPr>
        <w:t xml:space="preserve">CAPÍTULO VII — OBLIGACIONES, DERECHOS Y PROHIBICIONES</w:t>
      </w:r>
    </w:p>
    <w:p>
      <w:pPr>
        <w:spacing w:before="200" w:after="80"/>
      </w:pPr>
      <w:r>
        <w:rPr>
          <w:rFonts w:ascii="Arial" w:cs="Arial" w:eastAsia="Arial" w:hAnsi="Arial"/>
          <w:b/>
          <w:bCs/>
          <w:color w:val="1B2A4A"/>
          <w:sz w:val="20"/>
          <w:szCs w:val="20"/>
        </w:rPr>
        <w:t xml:space="preserve">ARTÍCULO 26°. </w:t>
      </w:r>
      <w:r>
        <w:rPr>
          <w:rFonts w:ascii="Arial" w:cs="Arial" w:eastAsia="Arial" w:hAnsi="Arial"/>
          <w:b/>
          <w:bCs/>
          <w:color w:val="1B2A4A"/>
          <w:sz w:val="20"/>
          <w:szCs w:val="20"/>
        </w:rPr>
        <w:t xml:space="preserve">OBLIGACIONES DEL TRABAJADOR. </w:t>
      </w:r>
    </w:p>
    <w:p>
      <w:pPr>
        <w:spacing w:before="0" w:after="140"/>
        <w:jc w:val="both"/>
      </w:pPr>
      <w:r>
        <w:rPr>
          <w:rFonts w:ascii="Arial" w:cs="Arial" w:eastAsia="Arial" w:hAnsi="Arial"/>
          <w:sz w:val="20"/>
          <w:szCs w:val="20"/>
        </w:rPr>
        <w:t xml:space="preserve">Son obligaciones especiales del trabajador, además de las consagradas en el artículo 58 del CST:</w:t>
      </w:r>
    </w:p>
    <w:p>
      <w:pPr>
        <w:pStyle w:val="ListParagraph"/>
        <w:numPr>
          <w:ilvl w:val="0"/>
          <w:numId w:val="2"/>
        </w:numPr>
        <w:spacing w:before="60" w:after="60"/>
      </w:pPr>
      <w:r>
        <w:rPr>
          <w:rFonts w:ascii="Arial" w:cs="Arial" w:eastAsia="Arial" w:hAnsi="Arial"/>
          <w:sz w:val="20"/>
          <w:szCs w:val="20"/>
        </w:rPr>
        <w:t xml:space="preserve">Realizar el trabajo en la forma, tiempo y lugar convenidos con el empleador.</w:t>
      </w:r>
    </w:p>
    <w:p>
      <w:pPr>
        <w:pStyle w:val="ListParagraph"/>
        <w:numPr>
          <w:ilvl w:val="0"/>
          <w:numId w:val="2"/>
        </w:numPr>
        <w:spacing w:before="60" w:after="60"/>
      </w:pPr>
      <w:r>
        <w:rPr>
          <w:rFonts w:ascii="Arial" w:cs="Arial" w:eastAsia="Arial" w:hAnsi="Arial"/>
          <w:sz w:val="20"/>
          <w:szCs w:val="20"/>
        </w:rPr>
        <w:t xml:space="preserve">Cumplir el reglamento y acatar las órdenes e instrucciones del empleador.</w:t>
      </w:r>
    </w:p>
    <w:p>
      <w:pPr>
        <w:pStyle w:val="ListParagraph"/>
        <w:numPr>
          <w:ilvl w:val="0"/>
          <w:numId w:val="2"/>
        </w:numPr>
        <w:spacing w:before="60" w:after="60"/>
      </w:pPr>
      <w:r>
        <w:rPr>
          <w:rFonts w:ascii="Arial" w:cs="Arial" w:eastAsia="Arial" w:hAnsi="Arial"/>
          <w:sz w:val="20"/>
          <w:szCs w:val="20"/>
        </w:rPr>
        <w:t xml:space="preserve">Comunicar oportunamente al empleador las observaciones tendientes a evitar daños y perjuicios.</w:t>
      </w:r>
    </w:p>
    <w:p>
      <w:pPr>
        <w:pStyle w:val="ListParagraph"/>
        <w:numPr>
          <w:ilvl w:val="0"/>
          <w:numId w:val="2"/>
        </w:numPr>
        <w:spacing w:before="60" w:after="60"/>
      </w:pPr>
      <w:r>
        <w:rPr>
          <w:rFonts w:ascii="Arial" w:cs="Arial" w:eastAsia="Arial" w:hAnsi="Arial"/>
          <w:sz w:val="20"/>
          <w:szCs w:val="20"/>
        </w:rPr>
        <w:t xml:space="preserve">Conservar y restituir en buen estado los instrumentos y útiles de trabajo.</w:t>
      </w:r>
    </w:p>
    <w:p>
      <w:pPr>
        <w:pStyle w:val="ListParagraph"/>
        <w:numPr>
          <w:ilvl w:val="0"/>
          <w:numId w:val="2"/>
        </w:numPr>
        <w:spacing w:before="60" w:after="60"/>
      </w:pPr>
      <w:r>
        <w:rPr>
          <w:rFonts w:ascii="Arial" w:cs="Arial" w:eastAsia="Arial" w:hAnsi="Arial"/>
          <w:sz w:val="20"/>
          <w:szCs w:val="20"/>
        </w:rPr>
        <w:t xml:space="preserve">Guardar rigurosamente la moral en las relaciones con sus superiores y compañeros.</w:t>
      </w:r>
    </w:p>
    <w:p>
      <w:pPr>
        <w:pStyle w:val="ListParagraph"/>
        <w:numPr>
          <w:ilvl w:val="0"/>
          <w:numId w:val="2"/>
        </w:numPr>
        <w:spacing w:before="60" w:after="60"/>
      </w:pPr>
      <w:r>
        <w:rPr>
          <w:rFonts w:ascii="Arial" w:cs="Arial" w:eastAsia="Arial" w:hAnsi="Arial"/>
          <w:sz w:val="20"/>
          <w:szCs w:val="20"/>
        </w:rPr>
        <w:t xml:space="preserve">Comunicar al empleador o a su representante los peligros de daños materiales que amenacen la vida de los compañeros o las propiedades del empleador.</w:t>
      </w:r>
    </w:p>
    <w:p>
      <w:pPr>
        <w:pStyle w:val="ListParagraph"/>
        <w:numPr>
          <w:ilvl w:val="0"/>
          <w:numId w:val="2"/>
        </w:numPr>
        <w:spacing w:before="60" w:after="60"/>
      </w:pPr>
      <w:r>
        <w:rPr>
          <w:rFonts w:ascii="Arial" w:cs="Arial" w:eastAsia="Arial" w:hAnsi="Arial"/>
          <w:sz w:val="20"/>
          <w:szCs w:val="20"/>
        </w:rPr>
        <w:t xml:space="preserve">Observar las medidas preventivas higiénicas prescritas por el médico o las autoridades del ramo.</w:t>
      </w:r>
    </w:p>
    <w:p>
      <w:pPr>
        <w:pStyle w:val="ListParagraph"/>
        <w:numPr>
          <w:ilvl w:val="0"/>
          <w:numId w:val="2"/>
        </w:numPr>
        <w:spacing w:before="60" w:after="60"/>
      </w:pPr>
      <w:r>
        <w:rPr>
          <w:rFonts w:ascii="Arial" w:cs="Arial" w:eastAsia="Arial" w:hAnsi="Arial"/>
          <w:sz w:val="20"/>
          <w:szCs w:val="20"/>
        </w:rPr>
        <w:t xml:space="preserve">Cumplir las normas del Sistema de Gestión de Seguridad y Salud en el Trabajo (SG-SST).</w:t>
      </w:r>
    </w:p>
    <w:p>
      <w:pPr>
        <w:spacing w:before="200" w:after="80"/>
      </w:pPr>
      <w:r>
        <w:rPr>
          <w:rFonts w:ascii="Arial" w:cs="Arial" w:eastAsia="Arial" w:hAnsi="Arial"/>
          <w:b/>
          <w:bCs/>
          <w:color w:val="1B2A4A"/>
          <w:sz w:val="20"/>
          <w:szCs w:val="20"/>
        </w:rPr>
        <w:t xml:space="preserve">ARTÍCULO 27°. </w:t>
      </w:r>
      <w:r>
        <w:rPr>
          <w:rFonts w:ascii="Arial" w:cs="Arial" w:eastAsia="Arial" w:hAnsi="Arial"/>
          <w:b/>
          <w:bCs/>
          <w:color w:val="1B2A4A"/>
          <w:sz w:val="20"/>
          <w:szCs w:val="20"/>
        </w:rPr>
        <w:t xml:space="preserve">OBLIGACIONES DEL EMPLEADOR. </w:t>
      </w:r>
    </w:p>
    <w:p>
      <w:pPr>
        <w:spacing w:before="0" w:after="140"/>
        <w:jc w:val="both"/>
      </w:pPr>
      <w:r>
        <w:rPr>
          <w:rFonts w:ascii="Arial" w:cs="Arial" w:eastAsia="Arial" w:hAnsi="Arial"/>
          <w:sz w:val="20"/>
          <w:szCs w:val="20"/>
        </w:rPr>
        <w:t xml:space="preserve">Son obligaciones especiales del empleador, además de las consagradas en el artículo 57 del CST:</w:t>
      </w:r>
    </w:p>
    <w:p>
      <w:pPr>
        <w:pStyle w:val="ListParagraph"/>
        <w:numPr>
          <w:ilvl w:val="0"/>
          <w:numId w:val="2"/>
        </w:numPr>
        <w:spacing w:before="60" w:after="60"/>
      </w:pPr>
      <w:r>
        <w:rPr>
          <w:rFonts w:ascii="Arial" w:cs="Arial" w:eastAsia="Arial" w:hAnsi="Arial"/>
          <w:sz w:val="20"/>
          <w:szCs w:val="20"/>
        </w:rPr>
        <w:t xml:space="preserve">Pagar la remuneración pactada en las condiciones, períodos y lugares convenidos.</w:t>
      </w:r>
    </w:p>
    <w:p>
      <w:pPr>
        <w:pStyle w:val="ListParagraph"/>
        <w:numPr>
          <w:ilvl w:val="0"/>
          <w:numId w:val="2"/>
        </w:numPr>
        <w:spacing w:before="60" w:after="60"/>
      </w:pPr>
      <w:r>
        <w:rPr>
          <w:rFonts w:ascii="Arial" w:cs="Arial" w:eastAsia="Arial" w:hAnsi="Arial"/>
          <w:sz w:val="20"/>
          <w:szCs w:val="20"/>
        </w:rPr>
        <w:t xml:space="preserve">Suministrar los instrumentos adecuados y la materia prima necesaria para la realización de las labores.</w:t>
      </w:r>
    </w:p>
    <w:p>
      <w:pPr>
        <w:pStyle w:val="ListParagraph"/>
        <w:numPr>
          <w:ilvl w:val="0"/>
          <w:numId w:val="2"/>
        </w:numPr>
        <w:spacing w:before="60" w:after="60"/>
      </w:pPr>
      <w:r>
        <w:rPr>
          <w:rFonts w:ascii="Arial" w:cs="Arial" w:eastAsia="Arial" w:hAnsi="Arial"/>
          <w:sz w:val="20"/>
          <w:szCs w:val="20"/>
        </w:rPr>
        <w:t xml:space="preserve">Procurar a los trabajadores locales apropiados y elementos adecuados de protección.</w:t>
      </w:r>
    </w:p>
    <w:p>
      <w:pPr>
        <w:pStyle w:val="ListParagraph"/>
        <w:numPr>
          <w:ilvl w:val="0"/>
          <w:numId w:val="2"/>
        </w:numPr>
        <w:spacing w:before="60" w:after="60"/>
      </w:pPr>
      <w:r>
        <w:rPr>
          <w:rFonts w:ascii="Arial" w:cs="Arial" w:eastAsia="Arial" w:hAnsi="Arial"/>
          <w:sz w:val="20"/>
          <w:szCs w:val="20"/>
        </w:rPr>
        <w:t xml:space="preserve">Prestar inmediatamente los primeros auxilios en caso de accidentes o enfermedad.</w:t>
      </w:r>
    </w:p>
    <w:p>
      <w:pPr>
        <w:pStyle w:val="ListParagraph"/>
        <w:numPr>
          <w:ilvl w:val="0"/>
          <w:numId w:val="2"/>
        </w:numPr>
        <w:spacing w:before="60" w:after="60"/>
      </w:pPr>
      <w:r>
        <w:rPr>
          <w:rFonts w:ascii="Arial" w:cs="Arial" w:eastAsia="Arial" w:hAnsi="Arial"/>
          <w:sz w:val="20"/>
          <w:szCs w:val="20"/>
        </w:rPr>
        <w:t xml:space="preserve">Garantizar el derecho a la seguridad social integral a todos los trabajadores.</w:t>
      </w:r>
    </w:p>
    <w:p>
      <w:pPr>
        <w:pStyle w:val="ListParagraph"/>
        <w:numPr>
          <w:ilvl w:val="0"/>
          <w:numId w:val="2"/>
        </w:numPr>
        <w:spacing w:before="60" w:after="60"/>
      </w:pPr>
      <w:r>
        <w:rPr>
          <w:rFonts w:ascii="Arial" w:cs="Arial" w:eastAsia="Arial" w:hAnsi="Arial"/>
          <w:sz w:val="20"/>
          <w:szCs w:val="20"/>
        </w:rPr>
        <w:t xml:space="preserve">Respetar la dignidad personal del trabajador y sus creencias y sentimientos.</w:t>
      </w:r>
    </w:p>
    <w:p>
      <w:pPr>
        <w:pStyle w:val="ListParagraph"/>
        <w:numPr>
          <w:ilvl w:val="0"/>
          <w:numId w:val="2"/>
        </w:numPr>
        <w:spacing w:before="60" w:after="60"/>
      </w:pPr>
      <w:r>
        <w:rPr>
          <w:rFonts w:ascii="Arial" w:cs="Arial" w:eastAsia="Arial" w:hAnsi="Arial"/>
          <w:sz w:val="20"/>
          <w:szCs w:val="20"/>
        </w:rPr>
        <w:t xml:space="preserve">Garantizar un ambiente libre de acoso laboral, violencia y discriminación.</w:t>
      </w:r>
    </w:p>
    <w:p>
      <w:pPr>
        <w:pStyle w:val="ListParagraph"/>
        <w:numPr>
          <w:ilvl w:val="0"/>
          <w:numId w:val="2"/>
        </w:numPr>
        <w:spacing w:before="60" w:after="60"/>
      </w:pPr>
      <w:r>
        <w:rPr>
          <w:rFonts w:ascii="Arial" w:cs="Arial" w:eastAsia="Arial" w:hAnsi="Arial"/>
          <w:sz w:val="20"/>
          <w:szCs w:val="20"/>
        </w:rPr>
        <w:t xml:space="preserve">Publicar y socializar el presente Reglamento y sus actualizaciones.</w:t>
      </w:r>
    </w:p>
    <w:p>
      <w:pPr>
        <w:spacing w:before="200" w:after="80"/>
      </w:pPr>
      <w:r>
        <w:rPr>
          <w:rFonts w:ascii="Arial" w:cs="Arial" w:eastAsia="Arial" w:hAnsi="Arial"/>
          <w:b/>
          <w:bCs/>
          <w:color w:val="1B2A4A"/>
          <w:sz w:val="20"/>
          <w:szCs w:val="20"/>
        </w:rPr>
        <w:t xml:space="preserve">ARTÍCULO 28°. </w:t>
      </w:r>
      <w:r>
        <w:rPr>
          <w:rFonts w:ascii="Arial" w:cs="Arial" w:eastAsia="Arial" w:hAnsi="Arial"/>
          <w:b/>
          <w:bCs/>
          <w:color w:val="1B2A4A"/>
          <w:sz w:val="20"/>
          <w:szCs w:val="20"/>
        </w:rPr>
        <w:t xml:space="preserve">PROHIBICIONES AL TRABAJADOR. </w:t>
      </w:r>
    </w:p>
    <w:p>
      <w:pPr>
        <w:spacing w:before="0" w:after="140"/>
        <w:jc w:val="both"/>
      </w:pPr>
      <w:r>
        <w:rPr>
          <w:rFonts w:ascii="Arial" w:cs="Arial" w:eastAsia="Arial" w:hAnsi="Arial"/>
          <w:sz w:val="20"/>
          <w:szCs w:val="20"/>
        </w:rPr>
        <w:t xml:space="preserve">Se prohíbe al trabajador, además de las prohibiciones del artículo 60 del CST:</w:t>
      </w:r>
    </w:p>
    <w:p>
      <w:pPr>
        <w:pStyle w:val="ListParagraph"/>
        <w:numPr>
          <w:ilvl w:val="0"/>
          <w:numId w:val="2"/>
        </w:numPr>
        <w:spacing w:before="60" w:after="60"/>
      </w:pPr>
      <w:r>
        <w:rPr>
          <w:rFonts w:ascii="Arial" w:cs="Arial" w:eastAsia="Arial" w:hAnsi="Arial"/>
          <w:sz w:val="20"/>
          <w:szCs w:val="20"/>
        </w:rPr>
        <w:t xml:space="preserve">Sustraer de la empresa documentos, bienes, herramientas, equipos o información de cualquier naturaleza.</w:t>
      </w:r>
    </w:p>
    <w:p>
      <w:pPr>
        <w:pStyle w:val="ListParagraph"/>
        <w:numPr>
          <w:ilvl w:val="0"/>
          <w:numId w:val="2"/>
        </w:numPr>
        <w:spacing w:before="60" w:after="60"/>
      </w:pPr>
      <w:r>
        <w:rPr>
          <w:rFonts w:ascii="Arial" w:cs="Arial" w:eastAsia="Arial" w:hAnsi="Arial"/>
          <w:sz w:val="20"/>
          <w:szCs w:val="20"/>
        </w:rPr>
        <w:t xml:space="preserve">Presentarse al trabajo en estado de embriaguez o bajo el efecto de sustancias psicoactivas.</w:t>
      </w:r>
    </w:p>
    <w:p>
      <w:pPr>
        <w:pStyle w:val="ListParagraph"/>
        <w:numPr>
          <w:ilvl w:val="0"/>
          <w:numId w:val="2"/>
        </w:numPr>
        <w:spacing w:before="60" w:after="60"/>
      </w:pPr>
      <w:r>
        <w:rPr>
          <w:rFonts w:ascii="Arial" w:cs="Arial" w:eastAsia="Arial" w:hAnsi="Arial"/>
          <w:sz w:val="20"/>
          <w:szCs w:val="20"/>
        </w:rPr>
        <w:t xml:space="preserve">Portar armas de cualquier clase en el lugar de trabajo.</w:t>
      </w:r>
    </w:p>
    <w:p>
      <w:pPr>
        <w:pStyle w:val="ListParagraph"/>
        <w:numPr>
          <w:ilvl w:val="0"/>
          <w:numId w:val="2"/>
        </w:numPr>
        <w:spacing w:before="60" w:after="60"/>
      </w:pPr>
      <w:r>
        <w:rPr>
          <w:rFonts w:ascii="Arial" w:cs="Arial" w:eastAsia="Arial" w:hAnsi="Arial"/>
          <w:sz w:val="20"/>
          <w:szCs w:val="20"/>
        </w:rPr>
        <w:t xml:space="preserve">Coartar la libertad para trabajar o no trabajar, o para afiliarse o no a un sindicato.</w:t>
      </w:r>
    </w:p>
    <w:p>
      <w:pPr>
        <w:pStyle w:val="ListParagraph"/>
        <w:numPr>
          <w:ilvl w:val="0"/>
          <w:numId w:val="2"/>
        </w:numPr>
        <w:spacing w:before="60" w:after="60"/>
      </w:pPr>
      <w:r>
        <w:rPr>
          <w:rFonts w:ascii="Arial" w:cs="Arial" w:eastAsia="Arial" w:hAnsi="Arial"/>
          <w:sz w:val="20"/>
          <w:szCs w:val="20"/>
        </w:rPr>
        <w:t xml:space="preserve">Ejercer actos de acoso laboral o sexual contra compañeros, superiores o subordinados.</w:t>
      </w:r>
    </w:p>
    <w:p>
      <w:pPr>
        <w:pStyle w:val="ListParagraph"/>
        <w:numPr>
          <w:ilvl w:val="0"/>
          <w:numId w:val="2"/>
        </w:numPr>
        <w:spacing w:before="60" w:after="60"/>
      </w:pPr>
      <w:r>
        <w:rPr>
          <w:rFonts w:ascii="Arial" w:cs="Arial" w:eastAsia="Arial" w:hAnsi="Arial"/>
          <w:sz w:val="20"/>
          <w:szCs w:val="20"/>
        </w:rPr>
        <w:t xml:space="preserve">Hacer o propagar comentarios que atenten contra la honra o buen nombre de la empresa o de sus compañeros.</w:t>
      </w:r>
    </w:p>
    <w:p>
      <w:pPr>
        <w:pStyle w:val="ListParagraph"/>
        <w:numPr>
          <w:ilvl w:val="0"/>
          <w:numId w:val="2"/>
        </w:numPr>
        <w:spacing w:before="60" w:after="60"/>
      </w:pPr>
      <w:r>
        <w:rPr>
          <w:rFonts w:ascii="Arial" w:cs="Arial" w:eastAsia="Arial" w:hAnsi="Arial"/>
          <w:sz w:val="20"/>
          <w:szCs w:val="20"/>
        </w:rPr>
        <w:t xml:space="preserve">Hacer colectas, rifas, suscripciones o cualquier clase de propaganda dentro del lugar de trabajo sin la debida autorización.</w:t>
      </w:r>
    </w:p>
    <w:p>
      <w:pPr>
        <w:spacing w:before="200" w:after="80"/>
      </w:pPr>
      <w:r>
        <w:rPr>
          <w:rFonts w:ascii="Arial" w:cs="Arial" w:eastAsia="Arial" w:hAnsi="Arial"/>
          <w:b/>
          <w:bCs/>
          <w:color w:val="1B2A4A"/>
          <w:sz w:val="20"/>
          <w:szCs w:val="20"/>
        </w:rPr>
        <w:t xml:space="preserve">ARTÍCULO 29°. </w:t>
      </w:r>
      <w:r>
        <w:rPr>
          <w:rFonts w:ascii="Arial" w:cs="Arial" w:eastAsia="Arial" w:hAnsi="Arial"/>
          <w:b/>
          <w:bCs/>
          <w:color w:val="1B2A4A"/>
          <w:sz w:val="20"/>
          <w:szCs w:val="20"/>
        </w:rPr>
        <w:t xml:space="preserve">PROHIBICIONES AL EMPLEADOR. </w:t>
      </w:r>
    </w:p>
    <w:p>
      <w:pPr>
        <w:spacing w:before="0" w:after="140"/>
        <w:jc w:val="both"/>
      </w:pPr>
      <w:r>
        <w:rPr>
          <w:rFonts w:ascii="Arial" w:cs="Arial" w:eastAsia="Arial" w:hAnsi="Arial"/>
          <w:sz w:val="20"/>
          <w:szCs w:val="20"/>
        </w:rPr>
        <w:t xml:space="preserve">Se prohíbe al empleador, además de las del artículo 59 del CST:</w:t>
      </w:r>
    </w:p>
    <w:p>
      <w:pPr>
        <w:pStyle w:val="ListParagraph"/>
        <w:numPr>
          <w:ilvl w:val="0"/>
          <w:numId w:val="2"/>
        </w:numPr>
        <w:spacing w:before="60" w:after="60"/>
      </w:pPr>
      <w:r>
        <w:rPr>
          <w:rFonts w:ascii="Arial" w:cs="Arial" w:eastAsia="Arial" w:hAnsi="Arial"/>
          <w:sz w:val="20"/>
          <w:szCs w:val="20"/>
        </w:rPr>
        <w:t xml:space="preserve">Despedir, presionar o discriminar a los trabajadores por su afiliación sindical, por ejercer el derecho de huelga, por razones de género, identidad de género, orientación sexual, raza, etnia, discapacidad u otra condición protegida por la ley.</w:t>
      </w:r>
    </w:p>
    <w:p>
      <w:pPr>
        <w:pStyle w:val="ListParagraph"/>
        <w:numPr>
          <w:ilvl w:val="0"/>
          <w:numId w:val="2"/>
        </w:numPr>
        <w:spacing w:before="60" w:after="60"/>
      </w:pPr>
      <w:r>
        <w:rPr>
          <w:rFonts w:ascii="Arial" w:cs="Arial" w:eastAsia="Arial" w:hAnsi="Arial"/>
          <w:sz w:val="20"/>
          <w:szCs w:val="20"/>
        </w:rPr>
        <w:t xml:space="preserve">Exigir o aceptar dinero del trabajador como gratificación por su admisión o empleo.</w:t>
      </w:r>
    </w:p>
    <w:p>
      <w:pPr>
        <w:pStyle w:val="ListParagraph"/>
        <w:numPr>
          <w:ilvl w:val="0"/>
          <w:numId w:val="2"/>
        </w:numPr>
        <w:spacing w:before="60" w:after="60"/>
      </w:pPr>
      <w:r>
        <w:rPr>
          <w:rFonts w:ascii="Arial" w:cs="Arial" w:eastAsia="Arial" w:hAnsi="Arial"/>
          <w:sz w:val="20"/>
          <w:szCs w:val="20"/>
        </w:rPr>
        <w:t xml:space="preserve">Limitar o presionar el ejercicio de los derechos de asociación, reunión o expresión sindical.</w:t>
      </w:r>
    </w:p>
    <w:p>
      <w:pPr>
        <w:pStyle w:val="ListParagraph"/>
        <w:numPr>
          <w:ilvl w:val="0"/>
          <w:numId w:val="2"/>
        </w:numPr>
        <w:spacing w:before="60" w:after="60"/>
      </w:pPr>
      <w:r>
        <w:rPr>
          <w:rFonts w:ascii="Arial" w:cs="Arial" w:eastAsia="Arial" w:hAnsi="Arial"/>
          <w:sz w:val="20"/>
          <w:szCs w:val="20"/>
        </w:rPr>
        <w:t xml:space="preserve">Imponer a los trabajadores obligaciones de carácter religioso o político o dificultarles el ejercicio del derecho al sufragio.</w:t>
      </w:r>
    </w:p>
    <w:p>
      <w:pPr>
        <w:spacing w:before="80" w:after="80"/>
        <w:jc w:val="both"/>
      </w:pPr>
      <w:r>
        <w:rPr>
          <w:rFonts w:ascii="Arial" w:cs="Arial" w:eastAsia="Arial" w:hAnsi="Arial"/>
          <w:b w:val="false"/>
          <w:bCs w:val="false"/>
          <w:color w:val="000000"/>
          <w:sz w:val="20"/>
          <w:szCs w:val="20"/>
        </w:rPr>
        <w:t xml:space="preserve"/>
      </w:r>
    </w:p>
    <w:p>
      <w:pPr>
        <w:pStyle w:val="Heading1"/>
        <w:pBdr>
          <w:bottom w:val="single" w:color="C8890A" w:sz="8"/>
        </w:pBdr>
        <w:shd w:fill="1B2A4A" w:val="clear"/>
        <w:spacing w:before="320" w:after="160"/>
        <w:ind w:left="200" w:right="200"/>
      </w:pPr>
      <w:r>
        <w:rPr>
          <w:rFonts w:ascii="Arial" w:cs="Arial" w:eastAsia="Arial" w:hAnsi="Arial"/>
          <w:b/>
          <w:bCs/>
          <w:color w:val="FFFFFF"/>
          <w:sz w:val="28"/>
          <w:szCs w:val="28"/>
        </w:rPr>
        <w:t xml:space="preserve">CAPÍTULO VIII — ACOSO LABORAL Y SEXUAL</w:t>
      </w:r>
    </w:p>
    <w:p>
      <w:pPr>
        <w:spacing w:before="200" w:after="80"/>
      </w:pPr>
      <w:r>
        <w:rPr>
          <w:rFonts w:ascii="Arial" w:cs="Arial" w:eastAsia="Arial" w:hAnsi="Arial"/>
          <w:b/>
          <w:bCs/>
          <w:color w:val="1B2A4A"/>
          <w:sz w:val="20"/>
          <w:szCs w:val="20"/>
        </w:rPr>
        <w:t xml:space="preserve">ARTÍCULO 30°. </w:t>
      </w:r>
      <w:r>
        <w:rPr>
          <w:rFonts w:ascii="Arial" w:cs="Arial" w:eastAsia="Arial" w:hAnsi="Arial"/>
          <w:b/>
          <w:bCs/>
          <w:color w:val="1B2A4A"/>
          <w:sz w:val="20"/>
          <w:szCs w:val="20"/>
        </w:rPr>
        <w:t xml:space="preserve">POLÍTICA DE PREVENCIÓN Y TOLERANCIA CERO. </w:t>
      </w:r>
    </w:p>
    <w:p>
      <w:pPr>
        <w:spacing w:before="0" w:after="140"/>
        <w:jc w:val="both"/>
      </w:pPr>
      <w:r>
        <w:rPr>
          <w:rFonts w:ascii="Arial" w:cs="Arial" w:eastAsia="Arial" w:hAnsi="Arial"/>
          <w:sz w:val="20"/>
          <w:szCs w:val="20"/>
        </w:rPr>
        <w:t xml:space="preserve">La empresa declara tolerancia cero frente al acoso laboral y sexual en cumplimiento de la Ley 1010 de 2006 y de la Ley 2466 de 2025, que refuerza la prohibición de discriminación y acoso en el mundo del trabajo. Toda conducta de acoso, violencia o discriminación está prohibida y será objeto del procedimiento disciplinario establecido en este reglamento, sin perjuicio de las acciones legales correspondientes.</w:t>
      </w:r>
    </w:p>
    <w:p>
      <w:pPr>
        <w:spacing w:before="200" w:after="80"/>
      </w:pPr>
      <w:r>
        <w:rPr>
          <w:rFonts w:ascii="Arial" w:cs="Arial" w:eastAsia="Arial" w:hAnsi="Arial"/>
          <w:b/>
          <w:bCs/>
          <w:color w:val="1B2A4A"/>
          <w:sz w:val="20"/>
          <w:szCs w:val="20"/>
        </w:rPr>
        <w:t xml:space="preserve">ARTÍCULO 31°. </w:t>
      </w:r>
      <w:r>
        <w:rPr>
          <w:rFonts w:ascii="Arial" w:cs="Arial" w:eastAsia="Arial" w:hAnsi="Arial"/>
          <w:b/>
          <w:bCs/>
          <w:color w:val="1B2A4A"/>
          <w:sz w:val="20"/>
          <w:szCs w:val="20"/>
        </w:rPr>
        <w:t xml:space="preserve">COMITÉ DE CONVIVENCIA LABORAL. </w:t>
      </w:r>
    </w:p>
    <w:p>
      <w:pPr>
        <w:spacing w:before="0" w:after="140"/>
        <w:jc w:val="both"/>
      </w:pPr>
      <w:r>
        <w:rPr>
          <w:rFonts w:ascii="Arial" w:cs="Arial" w:eastAsia="Arial" w:hAnsi="Arial"/>
          <w:sz w:val="20"/>
          <w:szCs w:val="20"/>
        </w:rPr>
        <w:t xml:space="preserve">La empresa contará con un Comité de Convivencia Laboral constituido y operando de conformidad con las Resoluciones 652 y 1356 de 2012 del Ministerio de Trabajo. El Comité recibirá, tramitará y dará respuesta a las quejas de acoso laboral, promoverá la convivencia y formulará recomendaciones a la gerencia para el mejoramiento del clima laboral.</w:t>
      </w:r>
    </w:p>
    <w:p>
      <w:pPr>
        <w:spacing w:before="200" w:after="80"/>
      </w:pPr>
      <w:r>
        <w:rPr>
          <w:rFonts w:ascii="Arial" w:cs="Arial" w:eastAsia="Arial" w:hAnsi="Arial"/>
          <w:b/>
          <w:bCs/>
          <w:color w:val="1B2A4A"/>
          <w:sz w:val="20"/>
          <w:szCs w:val="20"/>
        </w:rPr>
        <w:t xml:space="preserve">ARTÍCULO 32°. </w:t>
      </w:r>
      <w:r>
        <w:rPr>
          <w:rFonts w:ascii="Arial" w:cs="Arial" w:eastAsia="Arial" w:hAnsi="Arial"/>
          <w:b/>
          <w:bCs/>
          <w:color w:val="1B2A4A"/>
          <w:sz w:val="20"/>
          <w:szCs w:val="20"/>
        </w:rPr>
        <w:t xml:space="preserve">CANAL DE DENUNCIA. </w:t>
      </w:r>
    </w:p>
    <w:p>
      <w:pPr>
        <w:spacing w:before="0" w:after="140"/>
        <w:jc w:val="both"/>
      </w:pPr>
      <w:r>
        <w:rPr>
          <w:rFonts w:ascii="Arial" w:cs="Arial" w:eastAsia="Arial" w:hAnsi="Arial"/>
          <w:sz w:val="20"/>
          <w:szCs w:val="20"/>
        </w:rPr>
        <w:t xml:space="preserve">La empresa dispondrá de canales confidenciales para la presentación de quejas por acoso laboral o sexual, en cumplimiento de los artículos 9° y 10° de la Ley 1010 de 2006. Los canales incluirán al menos una vía de reporte escrito dirigido al Comité de Convivencia Laboral o a la Gerencia de Talento Humano. Se garantizará la protección de quienes denuncien de buena fe.</w:t>
      </w:r>
    </w:p>
    <w:p>
      <w:pPr>
        <w:spacing w:before="80" w:after="80"/>
        <w:jc w:val="both"/>
      </w:pPr>
      <w:r>
        <w:rPr>
          <w:rFonts w:ascii="Arial" w:cs="Arial" w:eastAsia="Arial" w:hAnsi="Arial"/>
          <w:b w:val="false"/>
          <w:bCs w:val="false"/>
          <w:color w:val="000000"/>
          <w:sz w:val="20"/>
          <w:szCs w:val="20"/>
        </w:rPr>
        <w:t xml:space="preserve"/>
      </w:r>
    </w:p>
    <w:p>
      <w:pPr>
        <w:pStyle w:val="Heading1"/>
        <w:pBdr>
          <w:bottom w:val="single" w:color="C8890A" w:sz="8"/>
        </w:pBdr>
        <w:shd w:fill="1B2A4A" w:val="clear"/>
        <w:spacing w:before="320" w:after="160"/>
        <w:ind w:left="200" w:right="200"/>
      </w:pPr>
      <w:r>
        <w:rPr>
          <w:rFonts w:ascii="Arial" w:cs="Arial" w:eastAsia="Arial" w:hAnsi="Arial"/>
          <w:b/>
          <w:bCs/>
          <w:color w:val="FFFFFF"/>
          <w:sz w:val="28"/>
          <w:szCs w:val="28"/>
        </w:rPr>
        <w:t xml:space="preserve">CAPÍTULO IX — SEGURIDAD Y SALUD EN EL TRABAJO</w:t>
      </w:r>
    </w:p>
    <w:p>
      <w:pPr>
        <w:spacing w:before="200" w:after="80"/>
      </w:pPr>
      <w:r>
        <w:rPr>
          <w:rFonts w:ascii="Arial" w:cs="Arial" w:eastAsia="Arial" w:hAnsi="Arial"/>
          <w:b/>
          <w:bCs/>
          <w:color w:val="1B2A4A"/>
          <w:sz w:val="20"/>
          <w:szCs w:val="20"/>
        </w:rPr>
        <w:t xml:space="preserve">ARTÍCULO 33°. </w:t>
      </w:r>
      <w:r>
        <w:rPr>
          <w:rFonts w:ascii="Arial" w:cs="Arial" w:eastAsia="Arial" w:hAnsi="Arial"/>
          <w:b/>
          <w:bCs/>
          <w:color w:val="1B2A4A"/>
          <w:sz w:val="20"/>
          <w:szCs w:val="20"/>
        </w:rPr>
        <w:t xml:space="preserve">SISTEMA DE GESTIÓN SST. </w:t>
      </w:r>
    </w:p>
    <w:p>
      <w:pPr>
        <w:spacing w:before="0" w:after="140"/>
        <w:jc w:val="both"/>
      </w:pPr>
      <w:r>
        <w:rPr>
          <w:rFonts w:ascii="Arial" w:cs="Arial" w:eastAsia="Arial" w:hAnsi="Arial"/>
          <w:sz w:val="20"/>
          <w:szCs w:val="20"/>
        </w:rPr>
        <w:t xml:space="preserve">La empresa implementará y mantendrá el Sistema de Gestión de Seguridad y Salud en el Trabajo (SG-SST) en cumplimiento del Decreto 1072 de 2015 (Libro 2, Parte 2, Título 4) y la Resolución 0312 de 2019. Todos los trabajadores están obligados a participar activamente en las actividades del SG-SST, a reportar condiciones o actos inseguros y a usar los elementos de protección personal (EPP) asignados.</w:t>
      </w:r>
    </w:p>
    <w:p>
      <w:pPr>
        <w:spacing w:before="200" w:after="80"/>
      </w:pPr>
      <w:r>
        <w:rPr>
          <w:rFonts w:ascii="Arial" w:cs="Arial" w:eastAsia="Arial" w:hAnsi="Arial"/>
          <w:b/>
          <w:bCs/>
          <w:color w:val="1B2A4A"/>
          <w:sz w:val="20"/>
          <w:szCs w:val="20"/>
        </w:rPr>
        <w:t xml:space="preserve">ARTÍCULO 34°. </w:t>
      </w:r>
      <w:r>
        <w:rPr>
          <w:rFonts w:ascii="Arial" w:cs="Arial" w:eastAsia="Arial" w:hAnsi="Arial"/>
          <w:b/>
          <w:bCs/>
          <w:color w:val="1B2A4A"/>
          <w:sz w:val="20"/>
          <w:szCs w:val="20"/>
        </w:rPr>
        <w:t xml:space="preserve">ACCIDENTES DE TRABAJO Y ENFERMEDAD LABORAL. </w:t>
      </w:r>
    </w:p>
    <w:p>
      <w:pPr>
        <w:spacing w:before="0" w:after="140"/>
        <w:jc w:val="both"/>
      </w:pPr>
      <w:r>
        <w:rPr>
          <w:rFonts w:ascii="Arial" w:cs="Arial" w:eastAsia="Arial" w:hAnsi="Arial"/>
          <w:sz w:val="20"/>
          <w:szCs w:val="20"/>
        </w:rPr>
        <w:t xml:space="preserve">Todo accidente de trabajo o presunto accidente deberá reportarse de inmediato al jefe inmediato y a la Administradora de Riesgos Laborales (ARL) dentro de los dos (2) días hábiles siguientes. La empresa reportará el evento ante la ARL, la EPS y el Ministerio de Trabajo conforme a la Resolución 1401 de 2007.</w:t>
      </w:r>
    </w:p>
    <w:p>
      <w:pPr>
        <w:spacing w:before="200" w:after="80"/>
      </w:pPr>
      <w:r>
        <w:rPr>
          <w:rFonts w:ascii="Arial" w:cs="Arial" w:eastAsia="Arial" w:hAnsi="Arial"/>
          <w:b/>
          <w:bCs/>
          <w:color w:val="1B2A4A"/>
          <w:sz w:val="20"/>
          <w:szCs w:val="20"/>
        </w:rPr>
        <w:t xml:space="preserve">ARTÍCULO 35°. </w:t>
      </w:r>
      <w:r>
        <w:rPr>
          <w:rFonts w:ascii="Arial" w:cs="Arial" w:eastAsia="Arial" w:hAnsi="Arial"/>
          <w:b/>
          <w:bCs/>
          <w:color w:val="1B2A4A"/>
          <w:sz w:val="20"/>
          <w:szCs w:val="20"/>
        </w:rPr>
        <w:t xml:space="preserve">SALUD MENTAL. </w:t>
      </w:r>
    </w:p>
    <w:p>
      <w:pPr>
        <w:spacing w:before="0" w:after="140"/>
        <w:jc w:val="both"/>
      </w:pPr>
      <w:r>
        <w:rPr>
          <w:rFonts w:ascii="Arial" w:cs="Arial" w:eastAsia="Arial" w:hAnsi="Arial"/>
          <w:sz w:val="20"/>
          <w:szCs w:val="20"/>
        </w:rPr>
        <w:t xml:space="preserve">En cumplimiento de la Ley 1616 de 2013, la empresa promoverá la salud mental en el ambiente laboral, implementará medidas de prevención de riesgo psicosocial y brindará acceso a programas de apoyo y bienestar emocional para sus trabajadores.</w:t>
      </w:r>
    </w:p>
    <w:p>
      <w:pPr>
        <w:spacing w:before="200" w:after="80"/>
      </w:pPr>
      <w:r>
        <w:rPr>
          <w:rFonts w:ascii="Arial" w:cs="Arial" w:eastAsia="Arial" w:hAnsi="Arial"/>
          <w:b/>
          <w:bCs/>
          <w:color w:val="1B2A4A"/>
          <w:sz w:val="20"/>
          <w:szCs w:val="20"/>
        </w:rPr>
        <w:t xml:space="preserve">ARTÍCULO 36°. </w:t>
      </w:r>
      <w:r>
        <w:rPr>
          <w:rFonts w:ascii="Arial" w:cs="Arial" w:eastAsia="Arial" w:hAnsi="Arial"/>
          <w:b/>
          <w:bCs/>
          <w:color w:val="1B2A4A"/>
          <w:sz w:val="20"/>
          <w:szCs w:val="20"/>
        </w:rPr>
        <w:t xml:space="preserve">ANIMALES DE COMPAÑÍA. </w:t>
      </w:r>
    </w:p>
    <w:p>
      <w:pPr>
        <w:spacing w:before="0" w:after="140"/>
        <w:jc w:val="both"/>
      </w:pPr>
      <w:r>
        <w:rPr>
          <w:rFonts w:ascii="Arial" w:cs="Arial" w:eastAsia="Arial" w:hAnsi="Arial"/>
          <w:sz w:val="20"/>
          <w:szCs w:val="20"/>
        </w:rPr>
        <w:t xml:space="preserve">Conforme al artículo 56 de la Ley 2466 de 2025, el ingreso de animales de asistencia, apoyo emocional o uso terapéutico deberá ser permitido por el empleador siempre y cuando el trabajador presente el certificado que soporte la necesidad de apoyo físico, psicológico o emocional, expedido por profesional de salud competente, y se cumplan los protocolos de salubridad que defina la empresa. La empresa reglamentará las condiciones específicas de acceso conforme a la normatividad expedida por los Ministerios de Trabajo y Salud.</w:t>
      </w:r>
    </w:p>
    <w:p>
      <w:pPr>
        <w:spacing w:before="80" w:after="80"/>
        <w:jc w:val="both"/>
      </w:pPr>
      <w:r>
        <w:rPr>
          <w:rFonts w:ascii="Arial" w:cs="Arial" w:eastAsia="Arial" w:hAnsi="Arial"/>
          <w:b w:val="false"/>
          <w:bCs w:val="false"/>
          <w:color w:val="000000"/>
          <w:sz w:val="20"/>
          <w:szCs w:val="20"/>
        </w:rPr>
        <w:t xml:space="preserve"/>
      </w:r>
    </w:p>
    <w:p>
      <w:pPr>
        <w:pStyle w:val="Heading1"/>
        <w:pBdr>
          <w:bottom w:val="single" w:color="C8890A" w:sz="8"/>
        </w:pBdr>
        <w:shd w:fill="1B2A4A" w:val="clear"/>
        <w:spacing w:before="320" w:after="160"/>
        <w:ind w:left="200" w:right="200"/>
      </w:pPr>
      <w:r>
        <w:rPr>
          <w:rFonts w:ascii="Arial" w:cs="Arial" w:eastAsia="Arial" w:hAnsi="Arial"/>
          <w:b/>
          <w:bCs/>
          <w:color w:val="FFFFFF"/>
          <w:sz w:val="28"/>
          <w:szCs w:val="28"/>
        </w:rPr>
        <w:t xml:space="preserve">CAPÍTULO X — PERMISOS, LICENCIAS Y AUSENCIAS</w:t>
      </w:r>
    </w:p>
    <w:p>
      <w:pPr>
        <w:spacing w:before="200" w:after="80"/>
      </w:pPr>
      <w:r>
        <w:rPr>
          <w:rFonts w:ascii="Arial" w:cs="Arial" w:eastAsia="Arial" w:hAnsi="Arial"/>
          <w:b/>
          <w:bCs/>
          <w:color w:val="1B2A4A"/>
          <w:sz w:val="20"/>
          <w:szCs w:val="20"/>
        </w:rPr>
        <w:t xml:space="preserve">ARTÍCULO 37°. </w:t>
      </w:r>
      <w:r>
        <w:rPr>
          <w:rFonts w:ascii="Arial" w:cs="Arial" w:eastAsia="Arial" w:hAnsi="Arial"/>
          <w:b/>
          <w:bCs/>
          <w:color w:val="1B2A4A"/>
          <w:sz w:val="20"/>
          <w:szCs w:val="20"/>
        </w:rPr>
        <w:t xml:space="preserve">PERMISOS REMUNERADOS. </w:t>
      </w:r>
    </w:p>
    <w:p>
      <w:pPr>
        <w:spacing w:before="0" w:after="140"/>
        <w:jc w:val="both"/>
      </w:pPr>
      <w:r>
        <w:rPr>
          <w:rFonts w:ascii="Arial" w:cs="Arial" w:eastAsia="Arial" w:hAnsi="Arial"/>
          <w:sz w:val="20"/>
          <w:szCs w:val="20"/>
        </w:rPr>
        <w:t xml:space="preserve">Los trabajadores tendrán derecho a los siguientes permisos remunerados, entre otros:</w:t>
      </w:r>
    </w:p>
    <w:p>
      <w:pPr>
        <w:pStyle w:val="ListParagraph"/>
        <w:numPr>
          <w:ilvl w:val="0"/>
          <w:numId w:val="2"/>
        </w:numPr>
        <w:spacing w:before="60" w:after="60"/>
      </w:pPr>
      <w:r>
        <w:rPr>
          <w:rFonts w:ascii="Arial" w:cs="Arial" w:eastAsia="Arial" w:hAnsi="Arial"/>
          <w:sz w:val="20"/>
          <w:szCs w:val="20"/>
        </w:rPr>
        <w:t xml:space="preserve">Para asistir a citas médicas propias o de familiares en primer grado de consanguinidad, según lo dispuesto en la Ley 2466 de 2025.</w:t>
      </w:r>
    </w:p>
    <w:p>
      <w:pPr>
        <w:pStyle w:val="ListParagraph"/>
        <w:numPr>
          <w:ilvl w:val="0"/>
          <w:numId w:val="2"/>
        </w:numPr>
        <w:spacing w:before="60" w:after="60"/>
      </w:pPr>
      <w:r>
        <w:rPr>
          <w:rFonts w:ascii="Arial" w:cs="Arial" w:eastAsia="Arial" w:hAnsi="Arial"/>
          <w:sz w:val="20"/>
          <w:szCs w:val="20"/>
        </w:rPr>
        <w:t xml:space="preserve">Para atender compromisos escolares de hijos menores de 18 años, conforme a la Ley 2466 de 2025.</w:t>
      </w:r>
    </w:p>
    <w:p>
      <w:pPr>
        <w:pStyle w:val="ListParagraph"/>
        <w:numPr>
          <w:ilvl w:val="0"/>
          <w:numId w:val="2"/>
        </w:numPr>
        <w:spacing w:before="60" w:after="60"/>
      </w:pPr>
      <w:r>
        <w:rPr>
          <w:rFonts w:ascii="Arial" w:cs="Arial" w:eastAsia="Arial" w:hAnsi="Arial"/>
          <w:sz w:val="20"/>
          <w:szCs w:val="20"/>
        </w:rPr>
        <w:t xml:space="preserve">Para ejercer el derecho al sufragio.</w:t>
      </w:r>
    </w:p>
    <w:p>
      <w:pPr>
        <w:pStyle w:val="ListParagraph"/>
        <w:numPr>
          <w:ilvl w:val="0"/>
          <w:numId w:val="2"/>
        </w:numPr>
        <w:spacing w:before="60" w:after="60"/>
      </w:pPr>
      <w:r>
        <w:rPr>
          <w:rFonts w:ascii="Arial" w:cs="Arial" w:eastAsia="Arial" w:hAnsi="Arial"/>
          <w:sz w:val="20"/>
          <w:szCs w:val="20"/>
        </w:rPr>
        <w:t xml:space="preserve">Los demás previstos en la ley o en acuerdos colectivos.</w:t>
      </w:r>
    </w:p>
    <w:p>
      <w:pPr>
        <w:spacing w:before="200" w:after="80"/>
      </w:pPr>
      <w:r>
        <w:rPr>
          <w:rFonts w:ascii="Arial" w:cs="Arial" w:eastAsia="Arial" w:hAnsi="Arial"/>
          <w:b/>
          <w:bCs/>
          <w:color w:val="1B2A4A"/>
          <w:sz w:val="20"/>
          <w:szCs w:val="20"/>
        </w:rPr>
        <w:t xml:space="preserve">ARTÍCULO 38°. </w:t>
      </w:r>
      <w:r>
        <w:rPr>
          <w:rFonts w:ascii="Arial" w:cs="Arial" w:eastAsia="Arial" w:hAnsi="Arial"/>
          <w:b/>
          <w:bCs/>
          <w:color w:val="1B2A4A"/>
          <w:sz w:val="20"/>
          <w:szCs w:val="20"/>
        </w:rPr>
        <w:t xml:space="preserve">LICENCIA DE MATERNIDAD Y PATERNIDAD. </w:t>
      </w:r>
    </w:p>
    <w:p>
      <w:pPr>
        <w:spacing w:before="0" w:after="140"/>
        <w:jc w:val="both"/>
      </w:pPr>
      <w:r>
        <w:rPr>
          <w:rFonts w:ascii="Arial" w:cs="Arial" w:eastAsia="Arial" w:hAnsi="Arial"/>
          <w:sz w:val="20"/>
          <w:szCs w:val="20"/>
        </w:rPr>
        <w:t xml:space="preserve">La empresa garantizará el pleno ejercicio de la licencia de maternidad (18 semanas, Ley 1822 de 2017) y de paternidad (2 semanas, Ley 2114 de 2021) sin descuento del tiempo al trabajador. Ninguna trabajadora embarazada o en período de lactancia podrá ser despedida sin autorización del Inspector del Trabajo.</w:t>
      </w:r>
    </w:p>
    <w:p>
      <w:pPr>
        <w:spacing w:before="200" w:after="80"/>
      </w:pPr>
      <w:r>
        <w:rPr>
          <w:rFonts w:ascii="Arial" w:cs="Arial" w:eastAsia="Arial" w:hAnsi="Arial"/>
          <w:b/>
          <w:bCs/>
          <w:color w:val="1B2A4A"/>
          <w:sz w:val="20"/>
          <w:szCs w:val="20"/>
        </w:rPr>
        <w:t xml:space="preserve">ARTÍCULO 39°. </w:t>
      </w:r>
      <w:r>
        <w:rPr>
          <w:rFonts w:ascii="Arial" w:cs="Arial" w:eastAsia="Arial" w:hAnsi="Arial"/>
          <w:b/>
          <w:bCs/>
          <w:color w:val="1B2A4A"/>
          <w:sz w:val="20"/>
          <w:szCs w:val="20"/>
        </w:rPr>
        <w:t xml:space="preserve">INCAPACIDADES. </w:t>
      </w:r>
    </w:p>
    <w:p>
      <w:pPr>
        <w:spacing w:before="0" w:after="140"/>
        <w:jc w:val="both"/>
      </w:pPr>
      <w:r>
        <w:rPr>
          <w:rFonts w:ascii="Arial" w:cs="Arial" w:eastAsia="Arial" w:hAnsi="Arial"/>
          <w:sz w:val="20"/>
          <w:szCs w:val="20"/>
        </w:rPr>
        <w:t xml:space="preserve">El trabajador en incapacidad por enfermedad general recibirá de la EPS el subsidio correspondiente a partir del cuarto día de incapacidad. Los tres primeros días serán cubiertos por el empleador. Para accidentes de trabajo o enfermedad laboral, las prestaciones económicas son cubiertas por la ARL desde el primer día de incapacidad.</w:t>
      </w:r>
    </w:p>
    <w:p>
      <w:pPr>
        <w:spacing w:before="80" w:after="80"/>
        <w:jc w:val="both"/>
      </w:pPr>
      <w:r>
        <w:rPr>
          <w:rFonts w:ascii="Arial" w:cs="Arial" w:eastAsia="Arial" w:hAnsi="Arial"/>
          <w:b w:val="false"/>
          <w:bCs w:val="false"/>
          <w:color w:val="000000"/>
          <w:sz w:val="20"/>
          <w:szCs w:val="20"/>
        </w:rPr>
        <w:t xml:space="preserve"/>
      </w:r>
    </w:p>
    <w:p>
      <w:pPr>
        <w:pStyle w:val="Heading1"/>
        <w:pBdr>
          <w:bottom w:val="single" w:color="C8890A" w:sz="8"/>
        </w:pBdr>
        <w:shd w:fill="1B2A4A" w:val="clear"/>
        <w:spacing w:before="320" w:after="160"/>
        <w:ind w:left="200" w:right="200"/>
      </w:pPr>
      <w:r>
        <w:rPr>
          <w:rFonts w:ascii="Arial" w:cs="Arial" w:eastAsia="Arial" w:hAnsi="Arial"/>
          <w:b/>
          <w:bCs/>
          <w:color w:val="FFFFFF"/>
          <w:sz w:val="28"/>
          <w:szCs w:val="28"/>
        </w:rPr>
        <w:t xml:space="preserve">CAPÍTULO XI — TERMINACIÓN DEL CONTRATO DE TRABAJO</w:t>
      </w:r>
    </w:p>
    <w:p>
      <w:pPr>
        <w:spacing w:before="200" w:after="80"/>
      </w:pPr>
      <w:r>
        <w:rPr>
          <w:rFonts w:ascii="Arial" w:cs="Arial" w:eastAsia="Arial" w:hAnsi="Arial"/>
          <w:b/>
          <w:bCs/>
          <w:color w:val="1B2A4A"/>
          <w:sz w:val="20"/>
          <w:szCs w:val="20"/>
        </w:rPr>
        <w:t xml:space="preserve">ARTÍCULO 40°. </w:t>
      </w:r>
      <w:r>
        <w:rPr>
          <w:rFonts w:ascii="Arial" w:cs="Arial" w:eastAsia="Arial" w:hAnsi="Arial"/>
          <w:b/>
          <w:bCs/>
          <w:color w:val="1B2A4A"/>
          <w:sz w:val="20"/>
          <w:szCs w:val="20"/>
        </w:rPr>
        <w:t xml:space="preserve">CAUSAS DE TERMINACIÓN. </w:t>
      </w:r>
    </w:p>
    <w:p>
      <w:pPr>
        <w:spacing w:before="0" w:after="140"/>
        <w:jc w:val="both"/>
      </w:pPr>
      <w:r>
        <w:rPr>
          <w:rFonts w:ascii="Arial" w:cs="Arial" w:eastAsia="Arial" w:hAnsi="Arial"/>
          <w:sz w:val="20"/>
          <w:szCs w:val="20"/>
        </w:rPr>
        <w:t xml:space="preserve">El contrato de trabajo termina por las causas previstas en el artículo 61 del CST: cumplimiento del término pactado, obra o labor concluida, muerte del trabajador, liquidación o clausura definitiva de la empresa, suspensión de actividades superior a 120 días, mutuo acuerdo, decisión unilateral con justa causa, y demás causas legales.</w:t>
      </w:r>
    </w:p>
    <w:p>
      <w:pPr>
        <w:spacing w:before="200" w:after="80"/>
      </w:pPr>
      <w:r>
        <w:rPr>
          <w:rFonts w:ascii="Arial" w:cs="Arial" w:eastAsia="Arial" w:hAnsi="Arial"/>
          <w:b/>
          <w:bCs/>
          <w:color w:val="1B2A4A"/>
          <w:sz w:val="20"/>
          <w:szCs w:val="20"/>
        </w:rPr>
        <w:t xml:space="preserve">ARTÍCULO 41°. </w:t>
      </w:r>
      <w:r>
        <w:rPr>
          <w:rFonts w:ascii="Arial" w:cs="Arial" w:eastAsia="Arial" w:hAnsi="Arial"/>
          <w:b/>
          <w:bCs/>
          <w:color w:val="1B2A4A"/>
          <w:sz w:val="20"/>
          <w:szCs w:val="20"/>
        </w:rPr>
        <w:t xml:space="preserve">JUSTAS CAUSAS DE DESPIDO POR PARTE DEL EMPLEADOR. </w:t>
      </w:r>
    </w:p>
    <w:p>
      <w:pPr>
        <w:spacing w:before="0" w:after="140"/>
        <w:jc w:val="both"/>
      </w:pPr>
      <w:r>
        <w:rPr>
          <w:rFonts w:ascii="Arial" w:cs="Arial" w:eastAsia="Arial" w:hAnsi="Arial"/>
          <w:sz w:val="20"/>
          <w:szCs w:val="20"/>
        </w:rPr>
        <w:t xml:space="preserve">Constituyen justa causa para terminar el contrato por parte del empleador las conductas enumeradas en el literal a) del artículo 62 del CST, entre ellas: el engaño del trabajador mediante certificaciones falsas, los actos de violencia o malos tratamientos contra el empleador o sus representantes, la violación grave de las obligaciones del contrato, el deficiente rendimiento, el vicio del trabajador que perturbe la disciplina, la detención preventiva por más de 30 días y la condena a pena privativa de libertad, entre otras.</w:t>
      </w:r>
    </w:p>
    <w:p>
      <w:pPr>
        <w:spacing w:before="200" w:after="80"/>
      </w:pPr>
      <w:r>
        <w:rPr>
          <w:rFonts w:ascii="Arial" w:cs="Arial" w:eastAsia="Arial" w:hAnsi="Arial"/>
          <w:b/>
          <w:bCs/>
          <w:color w:val="1B2A4A"/>
          <w:sz w:val="20"/>
          <w:szCs w:val="20"/>
        </w:rPr>
        <w:t xml:space="preserve">ARTÍCULO 42°. </w:t>
      </w:r>
      <w:r>
        <w:rPr>
          <w:rFonts w:ascii="Arial" w:cs="Arial" w:eastAsia="Arial" w:hAnsi="Arial"/>
          <w:b/>
          <w:bCs/>
          <w:color w:val="1B2A4A"/>
          <w:sz w:val="20"/>
          <w:szCs w:val="20"/>
        </w:rPr>
        <w:t xml:space="preserve">INDEMNIZACIONES. </w:t>
      </w:r>
    </w:p>
    <w:p>
      <w:pPr>
        <w:spacing w:before="0" w:after="140"/>
        <w:jc w:val="both"/>
      </w:pPr>
      <w:r>
        <w:rPr>
          <w:rFonts w:ascii="Arial" w:cs="Arial" w:eastAsia="Arial" w:hAnsi="Arial"/>
          <w:sz w:val="20"/>
          <w:szCs w:val="20"/>
        </w:rPr>
        <w:t xml:space="preserve">Cuando el empleador termine el contrato de trabajo sin justa causa comprobada, deberá pagar al trabajador la indemnización prevista en el artículo 64 del CST: para contratos indefinidos, 30 días de salario por el primer año y 20 días adicionales por cada año subsiguiente o fracción superior a seis meses; para contratos a término fijo, el valor de los salarios correspondientes al tiempo que faltare para cumplir el plazo pactado.</w:t>
      </w:r>
    </w:p>
    <w:p>
      <w:pPr>
        <w:spacing w:before="80" w:after="80"/>
        <w:jc w:val="both"/>
      </w:pPr>
      <w:r>
        <w:rPr>
          <w:rFonts w:ascii="Arial" w:cs="Arial" w:eastAsia="Arial" w:hAnsi="Arial"/>
          <w:b w:val="false"/>
          <w:bCs w:val="false"/>
          <w:color w:val="000000"/>
          <w:sz w:val="20"/>
          <w:szCs w:val="20"/>
        </w:rPr>
        <w:t xml:space="preserve"/>
      </w:r>
    </w:p>
    <w:p>
      <w:pPr>
        <w:pStyle w:val="Heading1"/>
        <w:pBdr>
          <w:bottom w:val="single" w:color="C8890A" w:sz="8"/>
        </w:pBdr>
        <w:shd w:fill="1B2A4A" w:val="clear"/>
        <w:spacing w:before="320" w:after="160"/>
        <w:ind w:left="200" w:right="200"/>
      </w:pPr>
      <w:r>
        <w:rPr>
          <w:rFonts w:ascii="Arial" w:cs="Arial" w:eastAsia="Arial" w:hAnsi="Arial"/>
          <w:b/>
          <w:bCs/>
          <w:color w:val="FFFFFF"/>
          <w:sz w:val="28"/>
          <w:szCs w:val="28"/>
        </w:rPr>
        <w:t xml:space="preserve">CAPÍTULO XII — USO DE TECNOLOGÍA Y CONFIDENCIALIDAD</w:t>
      </w:r>
    </w:p>
    <w:p>
      <w:pPr>
        <w:spacing w:before="200" w:after="80"/>
      </w:pPr>
      <w:r>
        <w:rPr>
          <w:rFonts w:ascii="Arial" w:cs="Arial" w:eastAsia="Arial" w:hAnsi="Arial"/>
          <w:b/>
          <w:bCs/>
          <w:color w:val="1B2A4A"/>
          <w:sz w:val="20"/>
          <w:szCs w:val="20"/>
        </w:rPr>
        <w:t xml:space="preserve">ARTÍCULO 43°. </w:t>
      </w:r>
      <w:r>
        <w:rPr>
          <w:rFonts w:ascii="Arial" w:cs="Arial" w:eastAsia="Arial" w:hAnsi="Arial"/>
          <w:b/>
          <w:bCs/>
          <w:color w:val="1B2A4A"/>
          <w:sz w:val="20"/>
          <w:szCs w:val="20"/>
        </w:rPr>
        <w:t xml:space="preserve">USO DE HERRAMIENTAS TECNOLÓGICAS. </w:t>
      </w:r>
    </w:p>
    <w:p>
      <w:pPr>
        <w:spacing w:before="0" w:after="140"/>
        <w:jc w:val="both"/>
      </w:pPr>
      <w:r>
        <w:rPr>
          <w:rFonts w:ascii="Arial" w:cs="Arial" w:eastAsia="Arial" w:hAnsi="Arial"/>
          <w:sz w:val="20"/>
          <w:szCs w:val="20"/>
        </w:rPr>
        <w:t xml:space="preserve">Los equipos, sistemas de información, correos electrónicos corporativos, plataformas y demás herramientas tecnológicas de la empresa son de uso laboral. El trabajador deberá hacer un uso responsable, eficiente y ético de dichos recursos. Cualquier uso indebido o para fines personales deberá contar con autorización expresa del empleador.</w:t>
      </w:r>
    </w:p>
    <w:p>
      <w:pPr>
        <w:spacing w:before="200" w:after="80"/>
      </w:pPr>
      <w:r>
        <w:rPr>
          <w:rFonts w:ascii="Arial" w:cs="Arial" w:eastAsia="Arial" w:hAnsi="Arial"/>
          <w:b/>
          <w:bCs/>
          <w:color w:val="1B2A4A"/>
          <w:sz w:val="20"/>
          <w:szCs w:val="20"/>
        </w:rPr>
        <w:t xml:space="preserve">ARTÍCULO 44°. </w:t>
      </w:r>
      <w:r>
        <w:rPr>
          <w:rFonts w:ascii="Arial" w:cs="Arial" w:eastAsia="Arial" w:hAnsi="Arial"/>
          <w:b/>
          <w:bCs/>
          <w:color w:val="1B2A4A"/>
          <w:sz w:val="20"/>
          <w:szCs w:val="20"/>
        </w:rPr>
        <w:t xml:space="preserve">CONFIDENCIALIDAD Y PROTECCIÓN DE DATOS. </w:t>
      </w:r>
    </w:p>
    <w:p>
      <w:pPr>
        <w:spacing w:before="0" w:after="140"/>
        <w:jc w:val="both"/>
      </w:pPr>
      <w:r>
        <w:rPr>
          <w:rFonts w:ascii="Arial" w:cs="Arial" w:eastAsia="Arial" w:hAnsi="Arial"/>
          <w:sz w:val="20"/>
          <w:szCs w:val="20"/>
        </w:rPr>
        <w:t xml:space="preserve">Los trabajadores que en razón de su cargo tengan acceso a información confidencial, secretos comerciales, datos personales de clientes, usuarios o terceros, o cualquier información estratégica de la empresa, están obligados a guardar estricta confidencialidad durante y después de la vigencia del contrato de trabajo, en cumplimiento de la Ley 1581 de 2012 (Habeas Data) y demás normatividad aplicable.</w:t>
      </w:r>
    </w:p>
    <w:p>
      <w:pPr>
        <w:spacing w:before="80" w:after="80"/>
        <w:jc w:val="both"/>
      </w:pPr>
      <w:r>
        <w:rPr>
          <w:rFonts w:ascii="Arial" w:cs="Arial" w:eastAsia="Arial" w:hAnsi="Arial"/>
          <w:b w:val="false"/>
          <w:bCs w:val="false"/>
          <w:color w:val="000000"/>
          <w:sz w:val="20"/>
          <w:szCs w:val="20"/>
        </w:rPr>
        <w:t xml:space="preserve"/>
      </w:r>
    </w:p>
    <w:p>
      <w:pPr>
        <w:pStyle w:val="Heading1"/>
        <w:pBdr>
          <w:bottom w:val="single" w:color="C8890A" w:sz="8"/>
        </w:pBdr>
        <w:shd w:fill="1B2A4A" w:val="clear"/>
        <w:spacing w:before="320" w:after="160"/>
        <w:ind w:left="200" w:right="200"/>
      </w:pPr>
      <w:r>
        <w:rPr>
          <w:rFonts w:ascii="Arial" w:cs="Arial" w:eastAsia="Arial" w:hAnsi="Arial"/>
          <w:b/>
          <w:bCs/>
          <w:color w:val="FFFFFF"/>
          <w:sz w:val="28"/>
          <w:szCs w:val="28"/>
        </w:rPr>
        <w:t xml:space="preserve">CAPÍTULO XIII — DISPOSICIONES FINALES</w:t>
      </w:r>
    </w:p>
    <w:p>
      <w:pPr>
        <w:spacing w:before="200" w:after="80"/>
      </w:pPr>
      <w:r>
        <w:rPr>
          <w:rFonts w:ascii="Arial" w:cs="Arial" w:eastAsia="Arial" w:hAnsi="Arial"/>
          <w:b/>
          <w:bCs/>
          <w:color w:val="1B2A4A"/>
          <w:sz w:val="20"/>
          <w:szCs w:val="20"/>
        </w:rPr>
        <w:t xml:space="preserve">ARTÍCULO 45°. </w:t>
      </w:r>
      <w:r>
        <w:rPr>
          <w:rFonts w:ascii="Arial" w:cs="Arial" w:eastAsia="Arial" w:hAnsi="Arial"/>
          <w:b/>
          <w:bCs/>
          <w:color w:val="1B2A4A"/>
          <w:sz w:val="20"/>
          <w:szCs w:val="20"/>
        </w:rPr>
        <w:t xml:space="preserve">DERECHO DE ASOCIACIÓN SINDICAL. </w:t>
      </w:r>
    </w:p>
    <w:p>
      <w:pPr>
        <w:spacing w:before="0" w:after="140"/>
        <w:jc w:val="both"/>
      </w:pPr>
      <w:r>
        <w:rPr>
          <w:rFonts w:ascii="Arial" w:cs="Arial" w:eastAsia="Arial" w:hAnsi="Arial"/>
          <w:sz w:val="20"/>
          <w:szCs w:val="20"/>
        </w:rPr>
        <w:t xml:space="preserve">La empresa reconoce y garantiza el derecho de los trabajadores a organizarse en sindicatos, a negociar colectivamente y a ejercer el derecho de huelga de conformidad con la Constitución Política, el CST y los Convenios de la OIT ratificados por Colombia. Ningún trabajador podrá ser objeto de represalia por ejercer estos derechos.</w:t>
      </w:r>
    </w:p>
    <w:p>
      <w:pPr>
        <w:spacing w:before="200" w:after="80"/>
      </w:pPr>
      <w:r>
        <w:rPr>
          <w:rFonts w:ascii="Arial" w:cs="Arial" w:eastAsia="Arial" w:hAnsi="Arial"/>
          <w:b/>
          <w:bCs/>
          <w:color w:val="1B2A4A"/>
          <w:sz w:val="20"/>
          <w:szCs w:val="20"/>
        </w:rPr>
        <w:t xml:space="preserve">ARTÍCULO 46°. </w:t>
      </w:r>
      <w:r>
        <w:rPr>
          <w:rFonts w:ascii="Arial" w:cs="Arial" w:eastAsia="Arial" w:hAnsi="Arial"/>
          <w:b/>
          <w:bCs/>
          <w:color w:val="1B2A4A"/>
          <w:sz w:val="20"/>
          <w:szCs w:val="20"/>
        </w:rPr>
        <w:t xml:space="preserve">TRABAJADORES EXTRANJEROS. </w:t>
      </w:r>
    </w:p>
    <w:p>
      <w:pPr>
        <w:spacing w:before="0" w:after="140"/>
        <w:jc w:val="both"/>
      </w:pPr>
      <w:r>
        <w:rPr>
          <w:rFonts w:ascii="Arial" w:cs="Arial" w:eastAsia="Arial" w:hAnsi="Arial"/>
          <w:sz w:val="20"/>
          <w:szCs w:val="20"/>
        </w:rPr>
        <w:t xml:space="preserve">Conforme a la Ley 2466 de 2025, el estatus migratorio no será impedimento para garantizar los derechos laborales y de seguridad social a los trabajadores extranjeros. La empresa garantizará igualdad de condiciones laborales con independencia de la nacionalidad del trabajador, dentro del marco legal colombiano.</w:t>
      </w:r>
    </w:p>
    <w:p>
      <w:pPr>
        <w:spacing w:before="200" w:after="80"/>
      </w:pPr>
      <w:r>
        <w:rPr>
          <w:rFonts w:ascii="Arial" w:cs="Arial" w:eastAsia="Arial" w:hAnsi="Arial"/>
          <w:b/>
          <w:bCs/>
          <w:color w:val="1B2A4A"/>
          <w:sz w:val="20"/>
          <w:szCs w:val="20"/>
        </w:rPr>
        <w:t xml:space="preserve">ARTÍCULO 47°. </w:t>
      </w:r>
      <w:r>
        <w:rPr>
          <w:rFonts w:ascii="Arial" w:cs="Arial" w:eastAsia="Arial" w:hAnsi="Arial"/>
          <w:b/>
          <w:bCs/>
          <w:color w:val="1B2A4A"/>
          <w:sz w:val="20"/>
          <w:szCs w:val="20"/>
        </w:rPr>
        <w:t xml:space="preserve">INSPECCIÓN DEL TRABAJO. </w:t>
      </w:r>
    </w:p>
    <w:p>
      <w:pPr>
        <w:spacing w:before="0" w:after="140"/>
        <w:jc w:val="both"/>
      </w:pPr>
      <w:r>
        <w:rPr>
          <w:rFonts w:ascii="Arial" w:cs="Arial" w:eastAsia="Arial" w:hAnsi="Arial"/>
          <w:sz w:val="20"/>
          <w:szCs w:val="20"/>
        </w:rPr>
        <w:t xml:space="preserve">El Ministerio de Trabajo, a través de sus Inspectores del Trabajo, ejercerá inspección, vigilancia y control sobre el cumplimiento del presente reglamento y de las normas laborales vigentes. La empresa permitirá el acceso de los inspectores en los términos del CST y colaborará con el suministro de la información requerida.</w:t>
      </w:r>
    </w:p>
    <w:p>
      <w:pPr>
        <w:spacing w:before="200" w:after="80"/>
      </w:pPr>
      <w:r>
        <w:rPr>
          <w:rFonts w:ascii="Arial" w:cs="Arial" w:eastAsia="Arial" w:hAnsi="Arial"/>
          <w:b/>
          <w:bCs/>
          <w:color w:val="1B2A4A"/>
          <w:sz w:val="20"/>
          <w:szCs w:val="20"/>
        </w:rPr>
        <w:t xml:space="preserve">ARTÍCULO 48°. </w:t>
      </w:r>
      <w:r>
        <w:rPr>
          <w:rFonts w:ascii="Arial" w:cs="Arial" w:eastAsia="Arial" w:hAnsi="Arial"/>
          <w:b/>
          <w:bCs/>
          <w:color w:val="1B2A4A"/>
          <w:sz w:val="20"/>
          <w:szCs w:val="20"/>
        </w:rPr>
        <w:t xml:space="preserve">PUBLICACIÓN Y DIVULGACIÓN. </w:t>
      </w:r>
    </w:p>
    <w:p>
      <w:pPr>
        <w:spacing w:before="0" w:after="140"/>
        <w:jc w:val="both"/>
      </w:pPr>
      <w:r>
        <w:rPr>
          <w:rFonts w:ascii="Arial" w:cs="Arial" w:eastAsia="Arial" w:hAnsi="Arial"/>
          <w:sz w:val="20"/>
          <w:szCs w:val="20"/>
        </w:rPr>
        <w:t xml:space="preserve">El presente Reglamento Interno de Trabajo será publicado en lugares visibles del centro de trabajo o a través de medios digitales con constancia verificable de divulgación, conforme a lo previsto en los artículos 120 y 121 del CST y en la Ley 2466 de 2025. Cada trabajador recibirá una copia o tendrá acceso permanente al documento.</w:t>
      </w:r>
    </w:p>
    <w:p>
      <w:pPr>
        <w:spacing w:before="200" w:after="80"/>
      </w:pPr>
      <w:r>
        <w:rPr>
          <w:rFonts w:ascii="Arial" w:cs="Arial" w:eastAsia="Arial" w:hAnsi="Arial"/>
          <w:b/>
          <w:bCs/>
          <w:color w:val="1B2A4A"/>
          <w:sz w:val="20"/>
          <w:szCs w:val="20"/>
        </w:rPr>
        <w:t xml:space="preserve">ARTÍCULO 49°. </w:t>
      </w:r>
      <w:r>
        <w:rPr>
          <w:rFonts w:ascii="Arial" w:cs="Arial" w:eastAsia="Arial" w:hAnsi="Arial"/>
          <w:b/>
          <w:bCs/>
          <w:color w:val="1B2A4A"/>
          <w:sz w:val="20"/>
          <w:szCs w:val="20"/>
        </w:rPr>
        <w:t xml:space="preserve">MODIFICACIONES. </w:t>
      </w:r>
    </w:p>
    <w:p>
      <w:pPr>
        <w:spacing w:before="0" w:after="140"/>
        <w:jc w:val="both"/>
      </w:pPr>
      <w:r>
        <w:rPr>
          <w:rFonts w:ascii="Arial" w:cs="Arial" w:eastAsia="Arial" w:hAnsi="Arial"/>
          <w:sz w:val="20"/>
          <w:szCs w:val="20"/>
        </w:rPr>
        <w:t xml:space="preserve">El presente Reglamento podrá ser modificado o adicionado cuando lo exija el cambio de las condiciones de la empresa o de las disposiciones legales vigentes, siguiendo el procedimiento previsto en los artículos 116 a 118 del CST. Toda modificación será informada a los trabajadores con la debida antelación.</w:t>
      </w:r>
    </w:p>
    <w:p>
      <w:pPr>
        <w:spacing w:before="200" w:after="80"/>
      </w:pPr>
      <w:r>
        <w:rPr>
          <w:rFonts w:ascii="Arial" w:cs="Arial" w:eastAsia="Arial" w:hAnsi="Arial"/>
          <w:b/>
          <w:bCs/>
          <w:color w:val="1B2A4A"/>
          <w:sz w:val="20"/>
          <w:szCs w:val="20"/>
        </w:rPr>
        <w:t xml:space="preserve">ARTÍCULO 50°. </w:t>
      </w:r>
      <w:r>
        <w:rPr>
          <w:rFonts w:ascii="Arial" w:cs="Arial" w:eastAsia="Arial" w:hAnsi="Arial"/>
          <w:b/>
          <w:bCs/>
          <w:color w:val="1B2A4A"/>
          <w:sz w:val="20"/>
          <w:szCs w:val="20"/>
        </w:rPr>
        <w:t xml:space="preserve">NORMAS SUPLETORIAS. </w:t>
      </w:r>
    </w:p>
    <w:p>
      <w:pPr>
        <w:spacing w:before="0" w:after="140"/>
        <w:jc w:val="both"/>
      </w:pPr>
      <w:r>
        <w:rPr>
          <w:rFonts w:ascii="Arial" w:cs="Arial" w:eastAsia="Arial" w:hAnsi="Arial"/>
          <w:sz w:val="20"/>
          <w:szCs w:val="20"/>
        </w:rPr>
        <w:t xml:space="preserve">En todo lo no previsto en el presente Reglamento se aplicarán las normas del Código Sustantivo del Trabajo, la Ley 50 de 1990, la Ley 789 de 2002, la Ley 2101 de 2021, la Ley 2466 de 2025 y demás disposiciones laborales vigentes en Colombia.</w:t>
      </w:r>
    </w:p>
    <w:p>
      <w:pPr>
        <w:spacing w:before="80" w:after="80"/>
        <w:jc w:val="both"/>
      </w:pPr>
      <w:r>
        <w:rPr>
          <w:rFonts w:ascii="Arial" w:cs="Arial" w:eastAsia="Arial" w:hAnsi="Arial"/>
          <w:b w:val="false"/>
          <w:bCs w:val="false"/>
          <w:color w:val="000000"/>
          <w:sz w:val="20"/>
          <w:szCs w:val="20"/>
        </w:rPr>
        <w:t xml:space="preserve"/>
      </w:r>
    </w:p>
    <w:p>
      <w:pPr>
        <w:spacing w:before="80" w:after="80"/>
        <w:jc w:val="both"/>
      </w:pPr>
      <w:r>
        <w:rPr>
          <w:rFonts w:ascii="Arial" w:cs="Arial" w:eastAsia="Arial" w:hAnsi="Arial"/>
          <w:b w:val="false"/>
          <w:bCs w:val="false"/>
          <w:color w:val="000000"/>
          <w:sz w:val="20"/>
          <w:szCs w:val="20"/>
        </w:rPr>
        <w:t xml:space="preserve"/>
      </w:r>
    </w:p>
    <w:p>
      <w:pPr>
        <w:pBdr>
          <w:top w:val="single" w:color="C8890A" w:sz="6"/>
        </w:pBdr>
        <w:spacing w:before="400" w:after="200"/>
      </w:pPr>
      <w:r>
        <w:rPr>
          <w:rFonts w:ascii="Arial" w:cs="Arial" w:eastAsia="Arial" w:hAnsi="Arial"/>
          <w:b/>
          <w:bCs/>
          <w:color w:val="1B2A4A"/>
          <w:sz w:val="26"/>
          <w:szCs w:val="26"/>
        </w:rPr>
        <w:t xml:space="preserve">EXPEDICIÓN Y FIRMAS</w:t>
      </w:r>
    </w:p>
    <w:p>
      <w:pPr>
        <w:spacing w:before="80" w:after="80"/>
        <w:jc w:val="both"/>
      </w:pPr>
      <w:r>
        <w:rPr>
          <w:rFonts w:ascii="Arial" w:cs="Arial" w:eastAsia="Arial" w:hAnsi="Arial"/>
          <w:b w:val="false"/>
          <w:bCs w:val="false"/>
          <w:color w:val="000000"/>
          <w:sz w:val="20"/>
          <w:szCs w:val="20"/>
        </w:rPr>
        <w:t xml:space="preserve">Expedido en _________________________, a los ______ días del mes de __________________ de _______.</w:t>
      </w:r>
    </w:p>
    <w:p>
      <w:pPr>
        <w:spacing w:before="80" w:after="80"/>
        <w:jc w:val="both"/>
      </w:pPr>
      <w:r>
        <w:rPr>
          <w:rFonts w:ascii="Arial" w:cs="Arial" w:eastAsia="Arial" w:hAnsi="Arial"/>
          <w:b w:val="false"/>
          <w:bCs w:val="false"/>
          <w:color w:val="000000"/>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500"/>
        <w:gridCol w:w="360"/>
        <w:gridCol w:w="4500"/>
      </w:tblGrid>
      <w:tr>
        <w:tc>
          <w:tcPr>
            <w:tcW w:type="dxa" w:w="4500"/>
            <w:tcBorders>
              <w:top w:val="none" w:color="FFFFFF" w:sz="0"/>
              <w:left w:val="none" w:color="FFFFFF" w:sz="0"/>
              <w:bottom w:val="none" w:color="FFFFFF" w:sz="0"/>
              <w:right w:val="none" w:color="FFFFFF" w:sz="0"/>
            </w:tcBorders>
          </w:tcPr>
          <w:p>
            <w:pPr>
              <w:spacing w:before="80" w:after="80"/>
              <w:jc w:val="center"/>
            </w:pPr>
            <w:r>
              <w:rPr>
                <w:rFonts w:ascii="Arial" w:cs="Arial" w:eastAsia="Arial" w:hAnsi="Arial"/>
                <w:b w:val="false"/>
                <w:bCs w:val="false"/>
                <w:color w:val="000000"/>
                <w:sz w:val="20"/>
                <w:szCs w:val="20"/>
              </w:rPr>
              <w:t xml:space="preserve">_________________________________</w:t>
            </w:r>
          </w:p>
          <w:p>
            <w:pPr>
              <w:spacing w:before="80" w:after="80"/>
              <w:jc w:val="center"/>
            </w:pPr>
            <w:r>
              <w:rPr>
                <w:rFonts w:ascii="Arial" w:cs="Arial" w:eastAsia="Arial" w:hAnsi="Arial"/>
                <w:b/>
                <w:bCs/>
                <w:color w:val="000000"/>
                <w:sz w:val="20"/>
                <w:szCs w:val="20"/>
              </w:rPr>
              <w:t xml:space="preserve">REPRESENTANTE LEGAL</w:t>
            </w:r>
          </w:p>
          <w:p>
            <w:pPr>
              <w:spacing w:before="80" w:after="80"/>
              <w:jc w:val="center"/>
            </w:pPr>
            <w:r>
              <w:rPr>
                <w:rFonts w:ascii="Arial" w:cs="Arial" w:eastAsia="Arial" w:hAnsi="Arial"/>
                <w:b w:val="false"/>
                <w:bCs w:val="false"/>
                <w:color w:val="000000"/>
                <w:sz w:val="20"/>
                <w:szCs w:val="20"/>
              </w:rPr>
              <w:t xml:space="preserve">[NOMBRE COMPLETO]</w:t>
            </w:r>
          </w:p>
          <w:p>
            <w:pPr>
              <w:spacing w:before="80" w:after="80"/>
              <w:jc w:val="center"/>
            </w:pPr>
            <w:r>
              <w:rPr>
                <w:rFonts w:ascii="Arial" w:cs="Arial" w:eastAsia="Arial" w:hAnsi="Arial"/>
                <w:b w:val="false"/>
                <w:bCs w:val="false"/>
                <w:color w:val="000000"/>
                <w:sz w:val="20"/>
                <w:szCs w:val="20"/>
              </w:rPr>
              <w:t xml:space="preserve">[CARGO]</w:t>
            </w:r>
          </w:p>
          <w:p>
            <w:pPr>
              <w:spacing w:before="80" w:after="80"/>
              <w:jc w:val="center"/>
            </w:pPr>
            <w:r>
              <w:rPr>
                <w:rFonts w:ascii="Arial" w:cs="Arial" w:eastAsia="Arial" w:hAnsi="Arial"/>
                <w:b w:val="false"/>
                <w:bCs w:val="false"/>
                <w:color w:val="000000"/>
                <w:sz w:val="20"/>
                <w:szCs w:val="20"/>
              </w:rPr>
              <w:t xml:space="preserve">C.C. / NIT: ___________________</w:t>
            </w:r>
          </w:p>
        </w:tc>
        <w:tc>
          <w:tcPr>
            <w:tcW w:type="dxa" w:w="360"/>
            <w:tcBorders>
              <w:top w:val="none" w:color="FFFFFF" w:sz="0"/>
              <w:left w:val="none" w:color="FFFFFF" w:sz="0"/>
              <w:bottom w:val="none" w:color="FFFFFF" w:sz="0"/>
              <w:right w:val="none" w:color="FFFFFF" w:sz="0"/>
            </w:tcBorders>
          </w:tcPr>
          <w:p>
            <w:pPr>
              <w:spacing w:before="80" w:after="80"/>
              <w:jc w:val="both"/>
            </w:pPr>
            <w:r>
              <w:rPr>
                <w:rFonts w:ascii="Arial" w:cs="Arial" w:eastAsia="Arial" w:hAnsi="Arial"/>
                <w:b w:val="false"/>
                <w:bCs w:val="false"/>
                <w:color w:val="000000"/>
                <w:sz w:val="20"/>
                <w:szCs w:val="20"/>
              </w:rPr>
              <w:t xml:space="preserve"/>
            </w:r>
          </w:p>
        </w:tc>
        <w:tc>
          <w:tcPr>
            <w:tcW w:type="dxa" w:w="4500"/>
            <w:tcBorders>
              <w:top w:val="none" w:color="FFFFFF" w:sz="0"/>
              <w:left w:val="none" w:color="FFFFFF" w:sz="0"/>
              <w:bottom w:val="none" w:color="FFFFFF" w:sz="0"/>
              <w:right w:val="none" w:color="FFFFFF" w:sz="0"/>
            </w:tcBorders>
          </w:tcPr>
          <w:p>
            <w:pPr>
              <w:spacing w:before="80" w:after="80"/>
              <w:jc w:val="center"/>
            </w:pPr>
            <w:r>
              <w:rPr>
                <w:rFonts w:ascii="Arial" w:cs="Arial" w:eastAsia="Arial" w:hAnsi="Arial"/>
                <w:b w:val="false"/>
                <w:bCs w:val="false"/>
                <w:color w:val="000000"/>
                <w:sz w:val="20"/>
                <w:szCs w:val="20"/>
              </w:rPr>
              <w:t xml:space="preserve">_________________________________</w:t>
            </w:r>
          </w:p>
          <w:p>
            <w:pPr>
              <w:spacing w:before="80" w:after="80"/>
              <w:jc w:val="center"/>
            </w:pPr>
            <w:r>
              <w:rPr>
                <w:rFonts w:ascii="Arial" w:cs="Arial" w:eastAsia="Arial" w:hAnsi="Arial"/>
                <w:b/>
                <w:bCs/>
                <w:color w:val="000000"/>
                <w:sz w:val="20"/>
                <w:szCs w:val="20"/>
              </w:rPr>
              <w:t xml:space="preserve">DELEGADO DE LOS TRABAJADORES</w:t>
            </w:r>
          </w:p>
          <w:p>
            <w:pPr>
              <w:spacing w:before="80" w:after="80"/>
              <w:jc w:val="center"/>
            </w:pPr>
            <w:r>
              <w:rPr>
                <w:rFonts w:ascii="Arial" w:cs="Arial" w:eastAsia="Arial" w:hAnsi="Arial"/>
                <w:b w:val="false"/>
                <w:bCs w:val="false"/>
                <w:color w:val="000000"/>
                <w:sz w:val="20"/>
                <w:szCs w:val="20"/>
              </w:rPr>
              <w:t xml:space="preserve">[NOMBRE COMPLETO]</w:t>
            </w:r>
          </w:p>
          <w:p>
            <w:pPr>
              <w:spacing w:before="80" w:after="80"/>
              <w:jc w:val="center"/>
            </w:pPr>
            <w:r>
              <w:rPr>
                <w:rFonts w:ascii="Arial" w:cs="Arial" w:eastAsia="Arial" w:hAnsi="Arial"/>
                <w:b w:val="false"/>
                <w:bCs w:val="false"/>
                <w:color w:val="000000"/>
                <w:sz w:val="20"/>
                <w:szCs w:val="20"/>
              </w:rPr>
              <w:t xml:space="preserve">[CARGO]</w:t>
            </w:r>
          </w:p>
          <w:p>
            <w:pPr>
              <w:spacing w:before="80" w:after="80"/>
              <w:jc w:val="center"/>
            </w:pPr>
            <w:r>
              <w:rPr>
                <w:rFonts w:ascii="Arial" w:cs="Arial" w:eastAsia="Arial" w:hAnsi="Arial"/>
                <w:b w:val="false"/>
                <w:bCs w:val="false"/>
                <w:color w:val="000000"/>
                <w:sz w:val="20"/>
                <w:szCs w:val="20"/>
              </w:rPr>
              <w:t xml:space="preserve">C.C.: ___________________</w:t>
            </w:r>
          </w:p>
        </w:tc>
      </w:tr>
    </w:tbl>
    <w:p>
      <w:pPr>
        <w:spacing w:before="80" w:after="80"/>
        <w:jc w:val="both"/>
      </w:pPr>
      <w:r>
        <w:rPr>
          <w:rFonts w:ascii="Arial" w:cs="Arial" w:eastAsia="Arial" w:hAnsi="Arial"/>
          <w:b w:val="false"/>
          <w:bCs w:val="false"/>
          <w:color w:val="000000"/>
          <w:sz w:val="20"/>
          <w:szCs w:val="20"/>
        </w:rPr>
        <w:t xml:space="preserve"/>
      </w:r>
    </w:p>
    <w:p>
      <w:pPr>
        <w:spacing w:before="80" w:after="80"/>
        <w:jc w:val="both"/>
      </w:pPr>
      <w:r>
        <w:rPr>
          <w:rFonts w:ascii="Arial" w:cs="Arial" w:eastAsia="Arial" w:hAnsi="Arial"/>
          <w:b w:val="false"/>
          <w:bCs w:val="false"/>
          <w:color w:val="000000"/>
          <w:sz w:val="20"/>
          <w:szCs w:val="20"/>
        </w:rPr>
        <w:t xml:space="preserve"/>
      </w:r>
    </w:p>
    <w:p>
      <w:pPr>
        <w:spacing w:before="80" w:after="80"/>
        <w:jc w:val="center"/>
      </w:pPr>
      <w:r>
        <w:rPr>
          <w:rFonts w:ascii="Arial" w:cs="Arial" w:eastAsia="Arial" w:hAnsi="Arial"/>
          <w:b w:val="false"/>
          <w:bCs w:val="false"/>
          <w:color w:val="666666"/>
          <w:sz w:val="20"/>
          <w:szCs w:val="20"/>
        </w:rPr>
        <w:t xml:space="preserve">NOTA: El presente Reglamento Interno de Trabajo debe registrarse ante el Ministerio del Trabajo conforme al artículo 119 del Código Sustantivo del Trabajo.</w:t>
      </w:r>
    </w:p>
    <w:sectPr>
      <w:headerReference w:type="default" r:id="rId6"/>
      <w:footerReference w:type="default" r:id="rId7"/>
      <w:pgSz w:w="12240" w:h="15840" w:orient="portrait"/>
      <w:pgMar w:top="1440" w:right="126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6E4F7" w:sz="4"/>
      </w:pBdr>
      <w:tabs>
        <w:tab w:val="right" w:pos="9360"/>
      </w:tabs>
    </w:pPr>
    <w:r>
      <w:rPr>
        <w:rFonts w:ascii="Arial" w:cs="Arial" w:eastAsia="Arial" w:hAnsi="Arial"/>
        <w:color w:val="888888"/>
        <w:sz w:val="16"/>
        <w:szCs w:val="16"/>
      </w:rPr>
      <w:t xml:space="preserve">Actualizado Ley 2466 de 2025 | Versión 1.0</w:t>
    </w:r>
    <w:r>
      <w:rPr>
        <w:rFonts w:ascii="Arial" w:cs="Arial" w:eastAsia="Arial" w:hAnsi="Arial"/>
        <w:color w:val="888888"/>
        <w:sz w:val="16"/>
        <w:szCs w:val="16"/>
      </w:rPr>
      <w:t xml:space="preserve">	Página </w:t>
    </w:r>
    <w:r>
      <w:rPr>
        <w:rFonts w:ascii="Arial" w:cs="Arial" w:eastAsia="Arial" w:hAnsi="Arial"/>
        <w:color w:val="888888"/>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E5FA3" w:sz="4"/>
      </w:pBdr>
      <w:tabs>
        <w:tab w:val="right" w:pos="9360"/>
      </w:tabs>
    </w:pPr>
    <w:r>
      <w:rPr>
        <w:rFonts w:ascii="Arial" w:cs="Arial" w:eastAsia="Arial" w:hAnsi="Arial"/>
        <w:b/>
        <w:bCs/>
        <w:color w:val="1B2A4A"/>
        <w:sz w:val="18"/>
        <w:szCs w:val="18"/>
      </w:rPr>
      <w:t xml:space="preserve">[NOMBRE DE LA EMPRESA]</w:t>
    </w:r>
    <w:r>
      <w:rPr>
        <w:rFonts w:ascii="Arial" w:cs="Arial" w:eastAsia="Arial" w:hAnsi="Arial"/>
        <w:i/>
        <w:iCs/>
        <w:color w:val="666666"/>
        <w:sz w:val="18"/>
        <w:szCs w:val="18"/>
      </w:rPr>
      <w:t xml:space="preserve">	Reglamento Interno de Trabajo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20" w:after="160"/>
      <w:outlineLvl w:val="0"/>
    </w:pPr>
    <w:rPr>
      <w:rFonts w:ascii="Arial" w:cs="Arial" w:eastAsia="Arial" w:hAnsi="Arial"/>
      <w:b/>
      <w:bCs/>
      <w:color w:val="FFFFFF"/>
      <w:sz w:val="26"/>
      <w:szCs w:val="26"/>
    </w:rPr>
  </w:style>
  <w:style w:type="paragraph" w:styleId="Heading2">
    <w:name w:val="Heading 2"/>
    <w:basedOn w:val="Normal"/>
    <w:next w:val="Normal"/>
    <w:qFormat/>
    <w:pPr>
      <w:spacing w:before="240" w:after="120"/>
      <w:outlineLvl w:val="1"/>
    </w:pPr>
    <w:rPr>
      <w:rFonts w:ascii="Arial" w:cs="Arial" w:eastAsia="Arial" w:hAnsi="Arial"/>
      <w:b/>
      <w:bCs/>
      <w:color w:val="2E5FA3"/>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2026-03-27T00:04:32.261Z</dcterms:created>
  <dcterms:modified xsi:type="dcterms:W3CDTF">2026-03-27T00:04:32.262Z</dcterms:modified>
</cp:coreProperties>
</file>

<file path=docProps/custom.xml><?xml version="1.0" encoding="utf-8"?>
<Properties xmlns="http://schemas.openxmlformats.org/officeDocument/2006/custom-properties" xmlns:vt="http://schemas.openxmlformats.org/officeDocument/2006/docPropsVTypes"/>
</file>